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17"/>
        <w:gridCol w:w="1343"/>
        <w:gridCol w:w="1434"/>
        <w:gridCol w:w="1424"/>
        <w:gridCol w:w="1101"/>
        <w:gridCol w:w="884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E43D0E" w:rsidRPr="00872BC7" w:rsidTr="00851B56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43D0E" w:rsidRPr="003C6462" w:rsidRDefault="00E43D0E" w:rsidP="00E43D0E">
            <w:pPr>
              <w:rPr>
                <w:color w:val="000000"/>
              </w:rPr>
            </w:pPr>
            <w:r>
              <w:rPr>
                <w:color w:val="000000"/>
              </w:rPr>
              <w:t>Commercial Law I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43D0E" w:rsidRPr="003C6462" w:rsidRDefault="00E43D0E" w:rsidP="00E43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LAW 321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43D0E" w:rsidRPr="003C6462" w:rsidRDefault="00E43D0E" w:rsidP="00E43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43D0E" w:rsidRPr="003C6462" w:rsidRDefault="00E43D0E" w:rsidP="00E43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3+2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43D0E" w:rsidRPr="003C6462" w:rsidRDefault="00E43D0E" w:rsidP="00E43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43D0E" w:rsidRPr="003C6462" w:rsidRDefault="00E43D0E" w:rsidP="00E43D0E">
            <w:pPr>
              <w:jc w:val="center"/>
            </w:pPr>
            <w:r>
              <w:t>4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43D0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43D0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43D0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43D0E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Mehmet BAHTİYAR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43D0E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Mehmet BAHTİYAR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43D0E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Buket Onur Gökalp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43D0E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fundamentals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commercial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enterprise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commercial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papers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courses</w:t>
            </w:r>
            <w:proofErr w:type="spellEnd"/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E43D0E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Important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notions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commercial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enterprise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consept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commercial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enterprise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commercial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enterprise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turnovers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pledge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notion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merchant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effects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consequences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being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merchant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unfair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competition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trademarks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definitions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elements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difference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from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ordinary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bills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regarding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bill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exchange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pleas</w:t>
            </w:r>
            <w:proofErr w:type="spellEnd"/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E43D0E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Gathers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regarding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commercial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enterprise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that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essential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amendments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Turkish Commercial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no. 6102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explanation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leading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doctrine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1,3,4,5,6,10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E43D0E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Has 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full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commercial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enterprise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especially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scope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bill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Exchange,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doctrine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which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requires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technical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precisely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2,3,5,10,11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E43D0E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sections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remarkable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importance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participants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2,3,5,9,10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779"/>
        <w:gridCol w:w="6309"/>
        <w:gridCol w:w="1612"/>
      </w:tblGrid>
      <w:tr w:rsidR="007241F1" w:rsidRPr="00872BC7" w:rsidTr="00E43D0E">
        <w:trPr>
          <w:trHeight w:val="525"/>
        </w:trPr>
        <w:tc>
          <w:tcPr>
            <w:tcW w:w="0" w:type="auto"/>
            <w:gridSpan w:val="3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E43D0E">
        <w:trPr>
          <w:trHeight w:val="450"/>
        </w:trPr>
        <w:tc>
          <w:tcPr>
            <w:tcW w:w="371" w:type="pc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612" w:type="pc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949" w:type="pct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E43D0E" w:rsidRPr="00E43D0E" w:rsidRDefault="00E43D0E" w:rsidP="00E43D0E">
            <w:pPr>
              <w:rPr>
                <w:color w:val="000000"/>
              </w:rPr>
            </w:pPr>
            <w:r w:rsidRPr="00E43D0E">
              <w:rPr>
                <w:color w:val="000000"/>
                <w:lang w:val="en-US"/>
              </w:rPr>
              <w:t>Introduction to Commercial Enterprise Law/ Definition, Elements and Criterion of Commercial Papers Law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E43D0E" w:rsidRPr="00E43D0E" w:rsidRDefault="00E43D0E" w:rsidP="00E43D0E">
            <w:pPr>
              <w:rPr>
                <w:bCs/>
                <w:color w:val="000000"/>
                <w:lang w:val="en-US"/>
              </w:rPr>
            </w:pPr>
            <w:r w:rsidRPr="00E43D0E">
              <w:rPr>
                <w:bCs/>
                <w:color w:val="000000"/>
                <w:lang w:val="en-US"/>
              </w:rPr>
              <w:t>Commercial Enterprise/ Classification of Commercial Papers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E43D0E" w:rsidRPr="00E43D0E" w:rsidRDefault="00E43D0E" w:rsidP="00E43D0E">
            <w:pPr>
              <w:rPr>
                <w:bCs/>
                <w:color w:val="000000"/>
                <w:lang w:val="en-US"/>
              </w:rPr>
            </w:pPr>
            <w:r w:rsidRPr="00E43D0E">
              <w:rPr>
                <w:bCs/>
                <w:color w:val="000000"/>
                <w:lang w:val="en-US"/>
              </w:rPr>
              <w:t>Business transactions and its consequences/ Alteration of commercial paper type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E43D0E" w:rsidRPr="00E43D0E" w:rsidRDefault="00E43D0E" w:rsidP="00E43D0E">
            <w:pPr>
              <w:rPr>
                <w:bCs/>
                <w:color w:val="000000"/>
                <w:lang w:val="en-US"/>
              </w:rPr>
            </w:pPr>
            <w:r w:rsidRPr="00E43D0E">
              <w:rPr>
                <w:bCs/>
                <w:color w:val="000000"/>
                <w:lang w:val="en-US"/>
              </w:rPr>
              <w:t>Commercial Clauses/ Pleas in commercial papers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E43D0E" w:rsidRPr="00E43D0E" w:rsidRDefault="00E43D0E" w:rsidP="00E43D0E">
            <w:pPr>
              <w:rPr>
                <w:bCs/>
                <w:color w:val="000000"/>
                <w:lang w:val="en-US"/>
              </w:rPr>
            </w:pPr>
            <w:r w:rsidRPr="00E43D0E">
              <w:rPr>
                <w:bCs/>
                <w:color w:val="000000"/>
                <w:lang w:val="en-US"/>
              </w:rPr>
              <w:t>Commercial Jurisdiction/ Loss and Cancellation of Commercial Papers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E43D0E" w:rsidRPr="00E43D0E" w:rsidRDefault="00E43D0E" w:rsidP="00E43D0E">
            <w:pPr>
              <w:rPr>
                <w:bCs/>
                <w:color w:val="000000"/>
                <w:lang w:val="en-US"/>
              </w:rPr>
            </w:pPr>
            <w:r w:rsidRPr="00E43D0E">
              <w:rPr>
                <w:bCs/>
                <w:color w:val="000000"/>
                <w:lang w:val="en-US"/>
              </w:rPr>
              <w:t>Notion of merchant, consequences of that notion/ Bill of Exchange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E43D0E" w:rsidRPr="00E43D0E" w:rsidRDefault="00E43D0E" w:rsidP="00E43D0E">
            <w:pPr>
              <w:rPr>
                <w:color w:val="000000"/>
              </w:rPr>
            </w:pPr>
            <w:r w:rsidRPr="00E43D0E">
              <w:rPr>
                <w:color w:val="000000"/>
              </w:rPr>
              <w:t>MID-TERM EXAMINATION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</w:tcPr>
          <w:p w:rsidR="00E43D0E" w:rsidRPr="00E43D0E" w:rsidRDefault="00E43D0E" w:rsidP="00E43D0E">
            <w:pPr>
              <w:rPr>
                <w:bCs/>
                <w:color w:val="000000"/>
                <w:lang w:val="en-US"/>
              </w:rPr>
            </w:pPr>
            <w:r w:rsidRPr="00E43D0E">
              <w:rPr>
                <w:bCs/>
                <w:color w:val="000000"/>
                <w:lang w:val="en-US"/>
              </w:rPr>
              <w:t>Business name, company name and trademark/ Policy, Requirements and Consequences of Missing Requirements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E43D0E" w:rsidRPr="00E43D0E" w:rsidRDefault="00E43D0E" w:rsidP="00E43D0E">
            <w:pPr>
              <w:rPr>
                <w:bCs/>
                <w:color w:val="000000"/>
                <w:lang w:val="en-US"/>
              </w:rPr>
            </w:pPr>
            <w:r w:rsidRPr="00E43D0E">
              <w:rPr>
                <w:bCs/>
                <w:color w:val="000000"/>
                <w:lang w:val="en-US"/>
              </w:rPr>
              <w:t>Unfair Competition/ Blank Policy, Independence of Signatures, Aval, Endorsement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E43D0E" w:rsidRPr="00E43D0E" w:rsidRDefault="00E43D0E" w:rsidP="00E43D0E">
            <w:pPr>
              <w:rPr>
                <w:bCs/>
                <w:color w:val="000000"/>
                <w:lang w:val="en-US"/>
              </w:rPr>
            </w:pPr>
            <w:r w:rsidRPr="00E43D0E">
              <w:rPr>
                <w:bCs/>
                <w:color w:val="000000"/>
                <w:lang w:val="en-US"/>
              </w:rPr>
              <w:t>Commercial Books / Bond, Requirements and Consequences of Missing Requirements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E43D0E" w:rsidRPr="00E43D0E" w:rsidRDefault="00E43D0E" w:rsidP="00E43D0E">
            <w:pPr>
              <w:rPr>
                <w:color w:val="000000"/>
                <w:lang w:val="en-US"/>
              </w:rPr>
            </w:pPr>
            <w:r w:rsidRPr="00E43D0E">
              <w:rPr>
                <w:color w:val="000000"/>
                <w:lang w:val="en-US"/>
              </w:rPr>
              <w:t>Commercial Register/</w:t>
            </w:r>
          </w:p>
          <w:p w:rsidR="00E43D0E" w:rsidRPr="00E43D0E" w:rsidRDefault="00E43D0E" w:rsidP="00E43D0E">
            <w:pPr>
              <w:rPr>
                <w:color w:val="000000"/>
                <w:lang w:val="en-US"/>
              </w:rPr>
            </w:pPr>
            <w:r w:rsidRPr="00E43D0E">
              <w:rPr>
                <w:color w:val="000000"/>
                <w:lang w:val="en-US"/>
              </w:rPr>
              <w:t xml:space="preserve">Policy Provisions those apply to Bond, Prescription in Bond 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</w:tcPr>
          <w:p w:rsidR="00E43D0E" w:rsidRPr="00E43D0E" w:rsidRDefault="00E43D0E" w:rsidP="00E43D0E">
            <w:pPr>
              <w:rPr>
                <w:color w:val="000000"/>
              </w:rPr>
            </w:pPr>
            <w:r w:rsidRPr="00E43D0E">
              <w:rPr>
                <w:color w:val="000000"/>
                <w:lang w:val="en-US"/>
              </w:rPr>
              <w:t>Assistants of Merchant</w:t>
            </w:r>
            <w:r w:rsidRPr="00E43D0E">
              <w:rPr>
                <w:color w:val="000000"/>
              </w:rPr>
              <w:t xml:space="preserve">/ </w:t>
            </w:r>
            <w:r w:rsidRPr="00E43D0E">
              <w:rPr>
                <w:color w:val="000000"/>
                <w:lang w:val="en-US"/>
              </w:rPr>
              <w:t>Check, Requirements as to form and Consequences of Nonconformity to Those Requirements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</w:tcPr>
          <w:p w:rsidR="00E43D0E" w:rsidRPr="00E43D0E" w:rsidRDefault="00E43D0E" w:rsidP="00E43D0E">
            <w:pPr>
              <w:rPr>
                <w:color w:val="000000"/>
              </w:rPr>
            </w:pPr>
            <w:r w:rsidRPr="00E43D0E">
              <w:rPr>
                <w:color w:val="000000"/>
                <w:lang w:val="en-US"/>
              </w:rPr>
              <w:t>Assistants of Merchant</w:t>
            </w:r>
            <w:r w:rsidRPr="00E43D0E">
              <w:rPr>
                <w:color w:val="000000"/>
              </w:rPr>
              <w:t>/</w:t>
            </w:r>
          </w:p>
          <w:p w:rsidR="00E43D0E" w:rsidRPr="00E43D0E" w:rsidRDefault="00E43D0E" w:rsidP="00E43D0E">
            <w:pPr>
              <w:rPr>
                <w:color w:val="000000"/>
                <w:lang w:val="en-US"/>
              </w:rPr>
            </w:pPr>
            <w:r w:rsidRPr="00E43D0E">
              <w:rPr>
                <w:color w:val="000000"/>
                <w:lang w:val="en-US"/>
              </w:rPr>
              <w:t xml:space="preserve">Key Principles and Characteristics of Check 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</w:tcPr>
          <w:p w:rsidR="00E43D0E" w:rsidRPr="00E43D0E" w:rsidRDefault="00E43D0E" w:rsidP="00E43D0E">
            <w:pPr>
              <w:rPr>
                <w:bCs/>
                <w:color w:val="000000"/>
                <w:lang w:val="en-US"/>
              </w:rPr>
            </w:pPr>
            <w:r w:rsidRPr="00E43D0E">
              <w:rPr>
                <w:bCs/>
                <w:color w:val="000000"/>
                <w:lang w:val="en-US"/>
              </w:rPr>
              <w:t xml:space="preserve">Account Current / Right of Petition and Responsibility due to Unpaid Check 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43D0E" w:rsidRPr="00E43D0E" w:rsidRDefault="00E43D0E" w:rsidP="00E43D0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Bahtiyar; Ticari İşletme Hukuku, 12. Bası, Beta, İstanbul 2012</w:t>
            </w:r>
          </w:p>
          <w:p w:rsidR="007241F1" w:rsidRPr="00872BC7" w:rsidRDefault="00E43D0E" w:rsidP="00E43D0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Bahtiyar; Kıymetli Evrak Hukuku, 10. Bası, Beta, İstanbul 2012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43D0E" w:rsidRPr="00E43D0E" w:rsidRDefault="00E43D0E" w:rsidP="00E43D0E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Arkan; Ticari İşletme Hukuku, 17. Bası, Banka ve Ticaret Hukuku Araştırma Enstitüsü, Ankara 2012</w:t>
            </w:r>
          </w:p>
          <w:p w:rsidR="007241F1" w:rsidRPr="00872BC7" w:rsidRDefault="00E43D0E" w:rsidP="00E43D0E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43D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Öztan; Kıymetli Evrak Hukuku, 17. Bası, Turhan, Ankara 2012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460"/>
        <w:gridCol w:w="6363"/>
        <w:gridCol w:w="331"/>
        <w:gridCol w:w="331"/>
        <w:gridCol w:w="331"/>
        <w:gridCol w:w="331"/>
        <w:gridCol w:w="331"/>
        <w:gridCol w:w="222"/>
      </w:tblGrid>
      <w:tr w:rsidR="007241F1" w:rsidRPr="00872BC7" w:rsidTr="00E43D0E">
        <w:trPr>
          <w:trHeight w:val="525"/>
        </w:trPr>
        <w:tc>
          <w:tcPr>
            <w:tcW w:w="0" w:type="auto"/>
            <w:gridSpan w:val="8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E43D0E">
        <w:trPr>
          <w:trHeight w:val="450"/>
        </w:trPr>
        <w:tc>
          <w:tcPr>
            <w:tcW w:w="0" w:type="auto"/>
            <w:vMerge w:val="restar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E43D0E">
        <w:tc>
          <w:tcPr>
            <w:tcW w:w="0" w:type="auto"/>
            <w:vMerge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43D0E" w:rsidRPr="00872BC7" w:rsidTr="00E43D0E">
        <w:trPr>
          <w:trHeight w:val="375"/>
        </w:trPr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43D0E" w:rsidRPr="00EE5895" w:rsidRDefault="00E43D0E" w:rsidP="00E43D0E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E43D0E" w:rsidRPr="00C51701" w:rsidRDefault="00E43D0E" w:rsidP="00E43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103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4,12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E43D0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bookmarkStart w:id="0" w:name="_GoBack"/>
            <w:bookmarkEnd w:id="0"/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51701"/>
    <w:rsid w:val="00C92D50"/>
    <w:rsid w:val="00CA53DB"/>
    <w:rsid w:val="00D71981"/>
    <w:rsid w:val="00E43D0E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390AC"/>
  <w15:docId w15:val="{178952FB-99C9-4473-9164-36B984F0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  <w:style w:type="table" w:styleId="TabloKlavuzuAk">
    <w:name w:val="Grid Table Light"/>
    <w:basedOn w:val="NormalTablo"/>
    <w:uiPriority w:val="40"/>
    <w:rsid w:val="00E43D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2017-06-11T13:34:00Z</dcterms:created>
  <dcterms:modified xsi:type="dcterms:W3CDTF">2017-06-11T13:34:00Z</dcterms:modified>
</cp:coreProperties>
</file>