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1330"/>
        <w:gridCol w:w="1421"/>
        <w:gridCol w:w="1411"/>
        <w:gridCol w:w="1091"/>
        <w:gridCol w:w="87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68123E" w:rsidRPr="00872BC7" w:rsidTr="00DC6F77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123E" w:rsidRPr="003C6462" w:rsidRDefault="0068123E" w:rsidP="0068123E">
            <w:pPr>
              <w:rPr>
                <w:color w:val="000000"/>
              </w:rPr>
            </w:pPr>
            <w:r>
              <w:rPr>
                <w:color w:val="000000"/>
              </w:rPr>
              <w:t>Commercial Law II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123E" w:rsidRPr="003C6462" w:rsidRDefault="0068123E" w:rsidP="00681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322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123E" w:rsidRPr="003C6462" w:rsidRDefault="0068123E" w:rsidP="00681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123E" w:rsidRPr="003C6462" w:rsidRDefault="0068123E" w:rsidP="00681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123E" w:rsidRPr="003C6462" w:rsidRDefault="0068123E" w:rsidP="00681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8123E" w:rsidRPr="003C6462" w:rsidRDefault="0068123E" w:rsidP="0068123E">
            <w:pPr>
              <w:jc w:val="center"/>
            </w:pPr>
            <w: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Mehmet Bahtiyar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68123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Mehmet Bahtiyar</w:t>
            </w:r>
          </w:p>
          <w:p w:rsidR="0068123E" w:rsidRPr="00C51701" w:rsidRDefault="0068123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Mehmet Fethi Şua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Buket Onur Arpacı Gökalp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partnership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key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Turkish Law.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23E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key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detailed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ordinary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partnership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enacted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partnerships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collective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commandite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joint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stock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limited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)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enacted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Commercial </w:t>
            </w:r>
            <w:proofErr w:type="spellStart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2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77C71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Gathers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key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scope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Commercial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No. 6102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Supreme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10"/>
        <w:gridCol w:w="16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E77C71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color w:val="000000"/>
              </w:rPr>
            </w:pPr>
            <w:proofErr w:type="spellStart"/>
            <w:r w:rsidRPr="00E77C71">
              <w:rPr>
                <w:color w:val="000000"/>
              </w:rPr>
              <w:t>Overwiev</w:t>
            </w:r>
            <w:proofErr w:type="spellEnd"/>
            <w:r w:rsidRPr="00E77C71">
              <w:rPr>
                <w:color w:val="000000"/>
              </w:rPr>
              <w:t xml:space="preserve"> of Turkish </w:t>
            </w:r>
            <w:proofErr w:type="spellStart"/>
            <w:r w:rsidRPr="00E77C71">
              <w:rPr>
                <w:color w:val="000000"/>
              </w:rPr>
              <w:t>Company</w:t>
            </w:r>
            <w:proofErr w:type="spellEnd"/>
            <w:r w:rsidRPr="00E77C71">
              <w:rPr>
                <w:color w:val="000000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Classification</w:t>
            </w:r>
            <w:proofErr w:type="spellEnd"/>
            <w:r w:rsidRPr="00E77C71">
              <w:rPr>
                <w:bCs/>
                <w:color w:val="000000"/>
              </w:rPr>
              <w:t xml:space="preserve"> of </w:t>
            </w:r>
            <w:proofErr w:type="spellStart"/>
            <w:r w:rsidRPr="00E77C71">
              <w:rPr>
                <w:bCs/>
                <w:color w:val="000000"/>
              </w:rPr>
              <w:t>Partnerships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Partnership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and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its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constituents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Differences</w:t>
            </w:r>
            <w:proofErr w:type="spellEnd"/>
            <w:r w:rsidRPr="00E77C71">
              <w:rPr>
                <w:bCs/>
                <w:color w:val="000000"/>
              </w:rPr>
              <w:t xml:space="preserve"> of </w:t>
            </w:r>
            <w:proofErr w:type="spellStart"/>
            <w:r w:rsidRPr="00E77C71">
              <w:rPr>
                <w:bCs/>
                <w:color w:val="000000"/>
              </w:rPr>
              <w:t>partnership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from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similar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concepts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Ordinary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Partnership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r w:rsidRPr="00E77C71">
              <w:rPr>
                <w:bCs/>
                <w:color w:val="000000"/>
              </w:rPr>
              <w:t xml:space="preserve">General </w:t>
            </w:r>
            <w:proofErr w:type="spellStart"/>
            <w:r w:rsidRPr="00E77C71">
              <w:rPr>
                <w:bCs/>
                <w:color w:val="000000"/>
              </w:rPr>
              <w:t>Provisions</w:t>
            </w:r>
            <w:proofErr w:type="spellEnd"/>
            <w:r w:rsidRPr="00E77C71">
              <w:rPr>
                <w:bCs/>
                <w:color w:val="000000"/>
              </w:rPr>
              <w:t xml:space="preserve"> of Commercial </w:t>
            </w:r>
            <w:proofErr w:type="spellStart"/>
            <w:r w:rsidRPr="00E77C71">
              <w:rPr>
                <w:bCs/>
                <w:color w:val="000000"/>
              </w:rPr>
              <w:t>Partnerships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color w:val="000000"/>
              </w:rPr>
            </w:pPr>
            <w:r w:rsidRPr="00E77C71">
              <w:rPr>
                <w:color w:val="000000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Collective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Company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Commandite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Company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proofErr w:type="spellStart"/>
            <w:r w:rsidRPr="00E77C71">
              <w:rPr>
                <w:bCs/>
                <w:color w:val="000000"/>
              </w:rPr>
              <w:t>Joint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Stock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Company</w:t>
            </w:r>
            <w:proofErr w:type="spellEnd"/>
            <w:r w:rsidRPr="00E77C71">
              <w:rPr>
                <w:bCs/>
                <w:color w:val="000000"/>
              </w:rPr>
              <w:t xml:space="preserve">, Definition, </w:t>
            </w:r>
            <w:proofErr w:type="spellStart"/>
            <w:r w:rsidRPr="00E77C71">
              <w:rPr>
                <w:bCs/>
                <w:color w:val="000000"/>
              </w:rPr>
              <w:t>Constituents</w:t>
            </w:r>
            <w:proofErr w:type="spellEnd"/>
            <w:r w:rsidRPr="00E77C71">
              <w:rPr>
                <w:bCs/>
                <w:color w:val="000000"/>
              </w:rPr>
              <w:t xml:space="preserve">, </w:t>
            </w:r>
            <w:proofErr w:type="spellStart"/>
            <w:r w:rsidRPr="00E77C71">
              <w:rPr>
                <w:bCs/>
                <w:color w:val="000000"/>
              </w:rPr>
              <w:t>Types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  <w:proofErr w:type="spellStart"/>
            <w:r w:rsidRPr="00E77C71">
              <w:rPr>
                <w:bCs/>
                <w:color w:val="000000"/>
              </w:rPr>
              <w:t>and</w:t>
            </w:r>
            <w:proofErr w:type="spellEnd"/>
            <w:r w:rsidRPr="00E77C71">
              <w:rPr>
                <w:bCs/>
                <w:color w:val="000000"/>
              </w:rPr>
              <w:t xml:space="preserve"> Establishment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color w:val="000000"/>
              </w:rPr>
            </w:pPr>
            <w:proofErr w:type="spellStart"/>
            <w:r w:rsidRPr="00E77C71">
              <w:rPr>
                <w:color w:val="000000"/>
              </w:rPr>
              <w:t>Organs</w:t>
            </w:r>
            <w:proofErr w:type="spellEnd"/>
            <w:r w:rsidRPr="00E77C71">
              <w:rPr>
                <w:color w:val="000000"/>
              </w:rPr>
              <w:t xml:space="preserve"> of </w:t>
            </w:r>
            <w:proofErr w:type="spellStart"/>
            <w:r w:rsidRPr="00E77C71">
              <w:rPr>
                <w:color w:val="000000"/>
              </w:rPr>
              <w:t>Joint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Stock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Company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and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Functioning</w:t>
            </w:r>
            <w:proofErr w:type="spellEnd"/>
            <w:r w:rsidRPr="00E77C71">
              <w:rPr>
                <w:color w:val="000000"/>
              </w:rPr>
              <w:t xml:space="preserve"> of </w:t>
            </w:r>
            <w:proofErr w:type="spellStart"/>
            <w:r w:rsidRPr="00E77C71">
              <w:rPr>
                <w:color w:val="000000"/>
              </w:rPr>
              <w:t>those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Organs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color w:val="000000"/>
              </w:rPr>
            </w:pPr>
            <w:r w:rsidRPr="00E77C71">
              <w:rPr>
                <w:color w:val="000000"/>
              </w:rPr>
              <w:t xml:space="preserve">Notion of </w:t>
            </w:r>
            <w:proofErr w:type="spellStart"/>
            <w:r w:rsidRPr="00E77C71">
              <w:rPr>
                <w:color w:val="000000"/>
              </w:rPr>
              <w:t>Share</w:t>
            </w:r>
            <w:proofErr w:type="spellEnd"/>
            <w:r w:rsidRPr="00E77C71">
              <w:rPr>
                <w:color w:val="000000"/>
              </w:rPr>
              <w:t xml:space="preserve"> in </w:t>
            </w:r>
            <w:proofErr w:type="spellStart"/>
            <w:r w:rsidRPr="00E77C71">
              <w:rPr>
                <w:color w:val="000000"/>
              </w:rPr>
              <w:t>Joint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Stock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Company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and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types</w:t>
            </w:r>
            <w:proofErr w:type="spellEnd"/>
            <w:r w:rsidRPr="00E77C71">
              <w:rPr>
                <w:color w:val="000000"/>
              </w:rPr>
              <w:t xml:space="preserve"> of </w:t>
            </w:r>
            <w:proofErr w:type="spellStart"/>
            <w:r w:rsidRPr="00E77C71">
              <w:rPr>
                <w:color w:val="000000"/>
              </w:rPr>
              <w:t>shares</w:t>
            </w:r>
            <w:proofErr w:type="spellEnd"/>
            <w:r w:rsidRPr="00E77C71">
              <w:rPr>
                <w:color w:val="000000"/>
              </w:rPr>
              <w:t xml:space="preserve">, </w:t>
            </w:r>
            <w:proofErr w:type="spellStart"/>
            <w:r w:rsidRPr="00E77C71">
              <w:rPr>
                <w:color w:val="000000"/>
              </w:rPr>
              <w:t>Shareholding</w:t>
            </w:r>
            <w:proofErr w:type="spellEnd"/>
            <w:r w:rsidRPr="00E77C71">
              <w:rPr>
                <w:color w:val="000000"/>
              </w:rPr>
              <w:t xml:space="preserve">, </w:t>
            </w:r>
            <w:proofErr w:type="spellStart"/>
            <w:r w:rsidRPr="00E77C71">
              <w:rPr>
                <w:color w:val="000000"/>
              </w:rPr>
              <w:t>Securities</w:t>
            </w:r>
            <w:proofErr w:type="spellEnd"/>
            <w:r w:rsidRPr="00E77C71">
              <w:rPr>
                <w:color w:val="000000"/>
              </w:rPr>
              <w:t xml:space="preserve">, </w:t>
            </w:r>
            <w:proofErr w:type="spellStart"/>
            <w:r w:rsidRPr="00E77C71">
              <w:rPr>
                <w:color w:val="000000"/>
              </w:rPr>
              <w:t>and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Amendment</w:t>
            </w:r>
            <w:proofErr w:type="spellEnd"/>
            <w:r w:rsidRPr="00E77C71">
              <w:rPr>
                <w:color w:val="000000"/>
              </w:rPr>
              <w:t xml:space="preserve"> of </w:t>
            </w:r>
            <w:proofErr w:type="spellStart"/>
            <w:r w:rsidRPr="00E77C71">
              <w:rPr>
                <w:color w:val="000000"/>
              </w:rPr>
              <w:t>Articles</w:t>
            </w:r>
            <w:proofErr w:type="spellEnd"/>
            <w:r w:rsidRPr="00E77C71">
              <w:rPr>
                <w:color w:val="000000"/>
              </w:rPr>
              <w:t xml:space="preserve"> of </w:t>
            </w:r>
            <w:proofErr w:type="spellStart"/>
            <w:r w:rsidRPr="00E77C71">
              <w:rPr>
                <w:color w:val="000000"/>
              </w:rPr>
              <w:t>Association</w:t>
            </w:r>
            <w:proofErr w:type="spellEnd"/>
            <w:r w:rsidRPr="00E77C71">
              <w:rPr>
                <w:color w:val="000000"/>
              </w:rPr>
              <w:t xml:space="preserve"> (AOA)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color w:val="000000"/>
              </w:rPr>
            </w:pPr>
            <w:r w:rsidRPr="00E77C71">
              <w:rPr>
                <w:color w:val="000000"/>
              </w:rPr>
              <w:t xml:space="preserve">Limited </w:t>
            </w:r>
            <w:proofErr w:type="spellStart"/>
            <w:r w:rsidRPr="00E77C71">
              <w:rPr>
                <w:color w:val="000000"/>
              </w:rPr>
              <w:t>Partnership</w:t>
            </w:r>
            <w:proofErr w:type="spellEnd"/>
            <w:r w:rsidRPr="00E77C71">
              <w:rPr>
                <w:color w:val="000000"/>
              </w:rPr>
              <w:t xml:space="preserve"> </w:t>
            </w:r>
            <w:proofErr w:type="spellStart"/>
            <w:r w:rsidRPr="00E77C71">
              <w:rPr>
                <w:color w:val="000000"/>
              </w:rPr>
              <w:t>Association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77C71" w:rsidRPr="00872BC7" w:rsidTr="005F074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rPr>
                <w:bCs/>
                <w:color w:val="000000"/>
              </w:rPr>
            </w:pPr>
            <w:r w:rsidRPr="00E77C71">
              <w:rPr>
                <w:bCs/>
                <w:color w:val="000000"/>
              </w:rPr>
              <w:t xml:space="preserve">Limited </w:t>
            </w:r>
            <w:proofErr w:type="spellStart"/>
            <w:r w:rsidRPr="00E77C71">
              <w:rPr>
                <w:bCs/>
                <w:color w:val="000000"/>
              </w:rPr>
              <w:t>Company</w:t>
            </w:r>
            <w:proofErr w:type="spellEnd"/>
            <w:r w:rsidRPr="00E77C71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Bahtiyar; Ortaklıklar Hukuku, 7. Bası, Beta, İstanbul 2012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77C71" w:rsidRDefault="00E77C71" w:rsidP="00E77C71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Bahtiyar; 6335 Sayılı Kanun ile Yeni </w:t>
            </w:r>
            <w:proofErr w:type="spellStart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TTK'da</w:t>
            </w:r>
            <w:proofErr w:type="spellEnd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Yapılan Değişiklikler ve İşletmeler/Şirketler için </w:t>
            </w:r>
            <w:proofErr w:type="spellStart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TTK'ya</w:t>
            </w:r>
            <w:proofErr w:type="spellEnd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Uyum Takvimi, Beta, İstanbul 2012</w:t>
            </w:r>
          </w:p>
          <w:p w:rsidR="00E77C71" w:rsidRPr="00E77C71" w:rsidRDefault="00E77C71" w:rsidP="00E77C71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Çamoğlu/ </w:t>
            </w:r>
            <w:proofErr w:type="spellStart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Poroy</w:t>
            </w:r>
            <w:proofErr w:type="spellEnd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 Tekinalp; Ortaklıklar ve Kooperatif Hukuku, 12. Bası, Vedat, İstanbul 2010</w:t>
            </w:r>
          </w:p>
          <w:p w:rsidR="007241F1" w:rsidRPr="00872BC7" w:rsidRDefault="00E77C71" w:rsidP="00E77C71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Kendigelen</w:t>
            </w:r>
            <w:proofErr w:type="spellEnd"/>
            <w:r w:rsidRPr="00E77C7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Yeni Türk Ticaret Kanunu: Değişiklikler, Yenilikler ve İlk Tespitler, 2. Bası, On İki Levha, İstanbul 2012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7C71" w:rsidRPr="00872BC7" w:rsidTr="001276B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C51701" w:rsidRDefault="00E77C71" w:rsidP="00E77C7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77C71" w:rsidRPr="00EE5895" w:rsidRDefault="00E77C71" w:rsidP="00E77C7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E77C71" w:rsidRPr="00C51701" w:rsidRDefault="00E77C71" w:rsidP="00E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77C7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68123E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E77C7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A37CA"/>
  <w15:docId w15:val="{5373BA78-8180-4FA2-AE56-969219F2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2017-06-11T16:32:00Z</dcterms:created>
  <dcterms:modified xsi:type="dcterms:W3CDTF">2017-06-11T16:32:00Z</dcterms:modified>
</cp:coreProperties>
</file>