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60"/>
        <w:gridCol w:w="1461"/>
        <w:gridCol w:w="1237"/>
        <w:gridCol w:w="1229"/>
        <w:gridCol w:w="951"/>
        <w:gridCol w:w="767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3B04F0" w:rsidRPr="002316E3" w:rsidTr="00EC78C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B04F0" w:rsidRPr="007E16FB" w:rsidRDefault="003B04F0" w:rsidP="004531F5">
            <w:proofErr w:type="spellStart"/>
            <w:r w:rsidRPr="007E16FB">
              <w:t>Common</w:t>
            </w:r>
            <w:proofErr w:type="spellEnd"/>
            <w:r w:rsidRPr="007E16FB">
              <w:t xml:space="preserve"> </w:t>
            </w:r>
            <w:proofErr w:type="spellStart"/>
            <w:r w:rsidRPr="007E16FB">
              <w:t>Law</w:t>
            </w:r>
            <w:proofErr w:type="spellEnd"/>
            <w:r w:rsidRPr="007E16FB">
              <w:t xml:space="preserve"> of </w:t>
            </w:r>
            <w:proofErr w:type="spellStart"/>
            <w:r w:rsidRPr="007E16FB">
              <w:t>Contracts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B04F0" w:rsidRPr="007E16FB" w:rsidRDefault="003B04F0" w:rsidP="004531F5">
            <w:r>
              <w:t xml:space="preserve">      </w:t>
            </w:r>
            <w:r w:rsidR="00DC422B">
              <w:t>Law</w:t>
            </w:r>
            <w:bookmarkStart w:id="0" w:name="_GoBack"/>
            <w:bookmarkEnd w:id="0"/>
            <w:r w:rsidR="009115F0">
              <w:t xml:space="preserve"> 235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B04F0" w:rsidRPr="007E16FB" w:rsidRDefault="009115F0" w:rsidP="003B04F0">
            <w:r>
              <w:t xml:space="preserve">        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B04F0" w:rsidRPr="007E16FB" w:rsidRDefault="003B04F0" w:rsidP="004531F5">
            <w:r>
              <w:t xml:space="preserve">        </w:t>
            </w:r>
            <w:r w:rsidR="009115F0">
              <w:t>4+0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B04F0" w:rsidRPr="007E16FB" w:rsidRDefault="003B04F0" w:rsidP="004531F5">
            <w:r>
              <w:t xml:space="preserve">       </w:t>
            </w:r>
            <w:r w:rsidR="009115F0"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3B04F0" w:rsidRDefault="003B04F0" w:rsidP="004531F5">
            <w:r>
              <w:t xml:space="preserve">     </w:t>
            </w:r>
            <w:r w:rsidR="009115F0">
              <w:t>5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6625"/>
      </w:tblGrid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38"/>
        <w:gridCol w:w="6625"/>
      </w:tblGrid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3B04F0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English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Bachelor's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Degree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(First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Cycle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Programmes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9115F0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115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Prof. Dr. Cihan Mengü Acun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B04F0" w:rsidRPr="00C51701" w:rsidRDefault="009115F0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9115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 w:rsidRPr="009115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Prof. Dr. Cihan Mengü Acun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3B04F0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-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3B04F0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Basics of </w:t>
            </w:r>
            <w:proofErr w:type="spellStart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Common</w:t>
            </w:r>
            <w:proofErr w:type="spellEnd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Uniform</w:t>
            </w:r>
            <w:proofErr w:type="spellEnd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Commercial </w:t>
            </w:r>
            <w:proofErr w:type="spellStart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B04F0" w:rsidRPr="003B04F0" w:rsidRDefault="003B04F0" w:rsidP="003B04F0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3B04F0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The course begins with an overview of the interests in contract law: restitution, reliance and expectation.</w:t>
            </w:r>
          </w:p>
          <w:p w:rsidR="003B04F0" w:rsidRPr="003B04F0" w:rsidRDefault="003B04F0" w:rsidP="003B04F0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3B04F0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Then it discusses formation: consideration, offer, and acceptance.</w:t>
            </w:r>
          </w:p>
          <w:p w:rsidR="003B04F0" w:rsidRPr="003B04F0" w:rsidRDefault="003B04F0" w:rsidP="003B04F0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3B04F0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Unconscionability and adhesion contracts begin the discussion of fairness.</w:t>
            </w:r>
          </w:p>
          <w:p w:rsidR="003B04F0" w:rsidRPr="003B04F0" w:rsidRDefault="003B04F0" w:rsidP="003B04F0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</w:pPr>
            <w:r w:rsidRPr="003B04F0">
              <w:rPr>
                <w:rFonts w:ascii="Verdana" w:hAnsi="Verdana"/>
                <w:color w:val="444444"/>
                <w:sz w:val="18"/>
                <w:szCs w:val="18"/>
                <w:lang w:val="en-US" w:eastAsia="tr-TR"/>
              </w:rPr>
              <w:t>Then students learn about how courts police the bargaining process.</w:t>
            </w:r>
          </w:p>
          <w:p w:rsidR="00B856E6" w:rsidRPr="00C51701" w:rsidRDefault="003B04F0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Finally</w:t>
            </w:r>
            <w:proofErr w:type="spellEnd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ends</w:t>
            </w:r>
            <w:proofErr w:type="spellEnd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damages</w:t>
            </w:r>
            <w:proofErr w:type="spellEnd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mitigation</w:t>
            </w:r>
            <w:proofErr w:type="spellEnd"/>
            <w:r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62"/>
        <w:gridCol w:w="1751"/>
        <w:gridCol w:w="1111"/>
        <w:gridCol w:w="1348"/>
      </w:tblGrid>
      <w:tr w:rsidR="00B856E6" w:rsidRPr="002316E3" w:rsidTr="003B04F0">
        <w:trPr>
          <w:tblCellSpacing w:w="15" w:type="dxa"/>
          <w:jc w:val="center"/>
        </w:trPr>
        <w:tc>
          <w:tcPr>
            <w:tcW w:w="268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939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589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1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B856E6" w:rsidRPr="002316E3" w:rsidTr="003B04F0">
        <w:trPr>
          <w:trHeight w:val="450"/>
          <w:tblCellSpacing w:w="15" w:type="dxa"/>
          <w:jc w:val="center"/>
        </w:trPr>
        <w:tc>
          <w:tcPr>
            <w:tcW w:w="268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3B04F0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1)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basics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formation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common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equitable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remedies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available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if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contract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found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unenforceable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660279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1,3,4,5,6,10</w:t>
            </w:r>
            <w:proofErr w:type="gramEnd"/>
          </w:p>
        </w:tc>
        <w:tc>
          <w:tcPr>
            <w:tcW w:w="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r w:rsid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,4</w:t>
            </w:r>
            <w:proofErr w:type="gramEnd"/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r w:rsid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,B,C</w:t>
            </w:r>
          </w:p>
        </w:tc>
      </w:tr>
      <w:tr w:rsidR="00B856E6" w:rsidRPr="002316E3" w:rsidTr="003B04F0">
        <w:trPr>
          <w:trHeight w:val="450"/>
          <w:tblCellSpacing w:w="15" w:type="dxa"/>
          <w:jc w:val="center"/>
        </w:trPr>
        <w:tc>
          <w:tcPr>
            <w:tcW w:w="268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3B04F0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2)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then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delve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policy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concerns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way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fairness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injected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660279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2,3,5,10,11</w:t>
            </w:r>
            <w:proofErr w:type="gramEnd"/>
          </w:p>
        </w:tc>
        <w:tc>
          <w:tcPr>
            <w:tcW w:w="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r w:rsid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,4</w:t>
            </w:r>
            <w:proofErr w:type="gramEnd"/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r w:rsid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,B,C</w:t>
            </w:r>
          </w:p>
        </w:tc>
      </w:tr>
      <w:tr w:rsidR="00B856E6" w:rsidRPr="002316E3" w:rsidTr="003B04F0">
        <w:trPr>
          <w:trHeight w:val="450"/>
          <w:tblCellSpacing w:w="15" w:type="dxa"/>
          <w:jc w:val="center"/>
        </w:trPr>
        <w:tc>
          <w:tcPr>
            <w:tcW w:w="268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C51701" w:rsidRDefault="00B856E6" w:rsidP="003B04F0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3)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Remedies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mitigation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damages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will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examined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comparing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common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remedies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remedies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found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Uniform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Commercial </w:t>
            </w:r>
            <w:proofErr w:type="spellStart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="003B04F0" w:rsidRP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939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B856E6" w:rsidRPr="00660279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2,3,5,9,10</w:t>
            </w:r>
            <w:proofErr w:type="gramEnd"/>
          </w:p>
        </w:tc>
        <w:tc>
          <w:tcPr>
            <w:tcW w:w="58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r w:rsid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,4</w:t>
            </w:r>
            <w:proofErr w:type="gramEnd"/>
          </w:p>
        </w:tc>
        <w:tc>
          <w:tcPr>
            <w:tcW w:w="71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  <w:r w:rsidR="003B04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,B,C</w:t>
            </w:r>
          </w:p>
        </w:tc>
      </w:tr>
    </w:tbl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3B04F0" w:rsidRPr="00C51701" w:rsidRDefault="003B04F0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B856E6" w:rsidRPr="002316E3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B856E6" w:rsidRPr="002316E3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B856E6" w:rsidRPr="002316E3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47"/>
        <w:gridCol w:w="6389"/>
        <w:gridCol w:w="1727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B856E6" w:rsidRPr="002316E3" w:rsidTr="003C7653">
        <w:trPr>
          <w:trHeight w:val="450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94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3C7653" w:rsidRPr="002316E3" w:rsidTr="003C7653">
        <w:trPr>
          <w:trHeight w:val="375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:rsidR="003C7653" w:rsidRPr="00ED225E" w:rsidRDefault="003C7653" w:rsidP="005005BA">
            <w:proofErr w:type="spellStart"/>
            <w:r w:rsidRPr="00ED225E">
              <w:t>Introductions</w:t>
            </w:r>
            <w:proofErr w:type="spellEnd"/>
            <w:r w:rsidRPr="00ED225E">
              <w:t xml:space="preserve">: Course </w:t>
            </w:r>
            <w:proofErr w:type="spellStart"/>
            <w:r w:rsidRPr="00ED225E">
              <w:t>Overview</w:t>
            </w:r>
            <w:proofErr w:type="spellEnd"/>
            <w:r w:rsidRPr="00ED225E">
              <w:t xml:space="preserve">, Legal </w:t>
            </w:r>
            <w:proofErr w:type="spellStart"/>
            <w:r w:rsidRPr="00ED225E">
              <w:t>System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Primer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C7653" w:rsidRPr="002316E3" w:rsidTr="003C7653">
        <w:trPr>
          <w:trHeight w:val="375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:rsidR="003C7653" w:rsidRPr="00ED225E" w:rsidRDefault="0042361E" w:rsidP="0042361E">
            <w:proofErr w:type="spellStart"/>
            <w:r>
              <w:t>Bases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Enforcing</w:t>
            </w:r>
            <w:proofErr w:type="spellEnd"/>
            <w:r>
              <w:t xml:space="preserve"> </w:t>
            </w:r>
            <w:proofErr w:type="spellStart"/>
            <w:r>
              <w:t>Promises</w:t>
            </w:r>
            <w:proofErr w:type="spellEnd"/>
            <w:r>
              <w:t xml:space="preserve"> </w:t>
            </w:r>
            <w:r w:rsidRPr="0042361E">
              <w:t xml:space="preserve">(Read: </w:t>
            </w:r>
            <w:proofErr w:type="spellStart"/>
            <w:r w:rsidRPr="0042361E">
              <w:t>Sullivan</w:t>
            </w:r>
            <w:proofErr w:type="spellEnd"/>
            <w:r w:rsidRPr="0042361E">
              <w:t xml:space="preserve"> v. </w:t>
            </w:r>
            <w:proofErr w:type="spellStart"/>
            <w:r w:rsidRPr="0042361E">
              <w:t>O’Connor</w:t>
            </w:r>
            <w:proofErr w:type="spellEnd"/>
            <w:r w:rsidRPr="0042361E"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C7653" w:rsidRPr="002316E3" w:rsidTr="003C7653">
        <w:trPr>
          <w:trHeight w:val="375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:rsidR="003C7653" w:rsidRPr="00ED225E" w:rsidRDefault="003C7653" w:rsidP="005005BA">
            <w:proofErr w:type="spellStart"/>
            <w:r w:rsidRPr="00ED225E">
              <w:t>Consideration</w:t>
            </w:r>
            <w:proofErr w:type="spellEnd"/>
            <w:r w:rsidRPr="00ED225E">
              <w:t xml:space="preserve"> (Read: </w:t>
            </w:r>
            <w:proofErr w:type="spellStart"/>
            <w:r w:rsidRPr="00ED225E">
              <w:t>Feinberg</w:t>
            </w:r>
            <w:proofErr w:type="spellEnd"/>
            <w:r w:rsidRPr="00ED225E">
              <w:t xml:space="preserve"> v. </w:t>
            </w:r>
            <w:proofErr w:type="spellStart"/>
            <w:r w:rsidRPr="00ED225E">
              <w:t>Pfeiffer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and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Kirskey</w:t>
            </w:r>
            <w:proofErr w:type="spellEnd"/>
            <w:r w:rsidRPr="00ED225E">
              <w:t xml:space="preserve"> v. </w:t>
            </w:r>
            <w:proofErr w:type="spellStart"/>
            <w:r w:rsidRPr="00ED225E">
              <w:t>Kirskey</w:t>
            </w:r>
            <w:proofErr w:type="spellEnd"/>
            <w:r w:rsidRPr="00ED225E"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C7653" w:rsidRPr="002316E3" w:rsidTr="003C7653">
        <w:trPr>
          <w:trHeight w:val="375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:rsidR="003C7653" w:rsidRPr="00ED225E" w:rsidRDefault="003C7653" w:rsidP="005005BA">
            <w:proofErr w:type="spellStart"/>
            <w:r w:rsidRPr="00ED225E">
              <w:t>Consideration</w:t>
            </w:r>
            <w:proofErr w:type="spellEnd"/>
            <w:r w:rsidRPr="00ED225E">
              <w:t xml:space="preserve">: </w:t>
            </w:r>
            <w:proofErr w:type="spellStart"/>
            <w:r w:rsidRPr="00ED225E">
              <w:t>Reliance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and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Restitution</w:t>
            </w:r>
            <w:proofErr w:type="spellEnd"/>
            <w:r w:rsidRPr="00ED225E">
              <w:t xml:space="preserve"> as a </w:t>
            </w:r>
            <w:proofErr w:type="spellStart"/>
            <w:r w:rsidRPr="00ED225E">
              <w:t>Basis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for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Recovery</w:t>
            </w:r>
            <w:proofErr w:type="spellEnd"/>
            <w:r w:rsidRPr="00ED225E">
              <w:t xml:space="preserve"> (Read: </w:t>
            </w:r>
            <w:proofErr w:type="spellStart"/>
            <w:r w:rsidRPr="00ED225E">
              <w:t>Rickets</w:t>
            </w:r>
            <w:proofErr w:type="spellEnd"/>
            <w:r w:rsidRPr="00ED225E">
              <w:t xml:space="preserve"> v. </w:t>
            </w:r>
            <w:proofErr w:type="spellStart"/>
            <w:r w:rsidRPr="00ED225E">
              <w:t>Scothorn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and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Callano</w:t>
            </w:r>
            <w:proofErr w:type="spellEnd"/>
            <w:r w:rsidRPr="00ED225E">
              <w:t xml:space="preserve"> v. </w:t>
            </w:r>
            <w:proofErr w:type="spellStart"/>
            <w:r w:rsidRPr="00ED225E">
              <w:t>Oakwood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Parks</w:t>
            </w:r>
            <w:proofErr w:type="spellEnd"/>
            <w:r w:rsidRPr="00ED225E"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C7653" w:rsidRPr="002316E3" w:rsidTr="003C7653">
        <w:trPr>
          <w:trHeight w:val="375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:rsidR="003C7653" w:rsidRPr="00ED225E" w:rsidRDefault="003C7653" w:rsidP="005005BA">
            <w:proofErr w:type="spellStart"/>
            <w:r w:rsidRPr="00ED225E">
              <w:t>The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Bargaining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Process</w:t>
            </w:r>
            <w:proofErr w:type="spellEnd"/>
            <w:r w:rsidRPr="00ED225E">
              <w:t xml:space="preserve"> (Read: </w:t>
            </w:r>
            <w:proofErr w:type="spellStart"/>
            <w:r w:rsidRPr="00ED225E">
              <w:t>Owen</w:t>
            </w:r>
            <w:proofErr w:type="spellEnd"/>
            <w:r w:rsidRPr="00ED225E">
              <w:t xml:space="preserve"> v. </w:t>
            </w:r>
            <w:proofErr w:type="spellStart"/>
            <w:r w:rsidRPr="00ED225E">
              <w:t>Tunison</w:t>
            </w:r>
            <w:proofErr w:type="spellEnd"/>
            <w:r w:rsidRPr="00ED225E">
              <w:t xml:space="preserve">, </w:t>
            </w:r>
            <w:proofErr w:type="spellStart"/>
            <w:r w:rsidRPr="00ED225E">
              <w:t>Lefkowitz</w:t>
            </w:r>
            <w:proofErr w:type="spellEnd"/>
            <w:r w:rsidRPr="00ED225E">
              <w:t xml:space="preserve"> v. Great Minneapolis </w:t>
            </w:r>
            <w:proofErr w:type="spellStart"/>
            <w:r w:rsidRPr="00ED225E">
              <w:t>Surplus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Store</w:t>
            </w:r>
            <w:proofErr w:type="spellEnd"/>
            <w:r w:rsidRPr="00ED225E">
              <w:t xml:space="preserve">, </w:t>
            </w:r>
            <w:proofErr w:type="spellStart"/>
            <w:r w:rsidRPr="00ED225E">
              <w:t>and</w:t>
            </w:r>
            <w:proofErr w:type="spellEnd"/>
            <w:r w:rsidRPr="00ED225E">
              <w:t xml:space="preserve"> White v. </w:t>
            </w:r>
            <w:proofErr w:type="spellStart"/>
            <w:r w:rsidRPr="00ED225E">
              <w:t>Corlies</w:t>
            </w:r>
            <w:proofErr w:type="spellEnd"/>
            <w:r w:rsidRPr="00ED225E"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C7653" w:rsidRPr="002316E3" w:rsidTr="003C7653">
        <w:trPr>
          <w:trHeight w:val="375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:rsidR="003C7653" w:rsidRPr="00ED225E" w:rsidRDefault="003C7653" w:rsidP="005005BA">
            <w:proofErr w:type="spellStart"/>
            <w:r w:rsidRPr="00ED225E">
              <w:t>Termination</w:t>
            </w:r>
            <w:proofErr w:type="spellEnd"/>
            <w:r w:rsidRPr="00ED225E">
              <w:t xml:space="preserve"> of </w:t>
            </w:r>
            <w:proofErr w:type="spellStart"/>
            <w:r w:rsidRPr="00ED225E">
              <w:t>the</w:t>
            </w:r>
            <w:proofErr w:type="spellEnd"/>
            <w:r w:rsidRPr="00ED225E">
              <w:t xml:space="preserve"> Powers of </w:t>
            </w:r>
            <w:proofErr w:type="spellStart"/>
            <w:r w:rsidRPr="00ED225E">
              <w:t>Acceptance</w:t>
            </w:r>
            <w:proofErr w:type="spellEnd"/>
            <w:r w:rsidRPr="00ED225E">
              <w:t xml:space="preserve">: </w:t>
            </w:r>
            <w:proofErr w:type="spellStart"/>
            <w:r w:rsidRPr="00ED225E">
              <w:t>Lapse</w:t>
            </w:r>
            <w:proofErr w:type="spellEnd"/>
            <w:r w:rsidRPr="00ED225E">
              <w:t xml:space="preserve"> of an </w:t>
            </w:r>
            <w:proofErr w:type="spellStart"/>
            <w:r w:rsidRPr="00ED225E">
              <w:t>Offer</w:t>
            </w:r>
            <w:proofErr w:type="spellEnd"/>
            <w:r w:rsidRPr="00ED225E">
              <w:t xml:space="preserve">, </w:t>
            </w:r>
            <w:proofErr w:type="spellStart"/>
            <w:r w:rsidRPr="00ED225E">
              <w:t>Revocation</w:t>
            </w:r>
            <w:proofErr w:type="spellEnd"/>
            <w:r w:rsidRPr="00ED225E">
              <w:t xml:space="preserve">, </w:t>
            </w:r>
            <w:proofErr w:type="spellStart"/>
            <w:r w:rsidRPr="00ED225E">
              <w:t>and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The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Mailbox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Rule</w:t>
            </w:r>
            <w:proofErr w:type="spellEnd"/>
            <w:r w:rsidRPr="00ED225E">
              <w:t xml:space="preserve"> (Read: </w:t>
            </w:r>
            <w:proofErr w:type="spellStart"/>
            <w:r w:rsidRPr="00ED225E">
              <w:t>Rogasta</w:t>
            </w:r>
            <w:proofErr w:type="spellEnd"/>
            <w:r w:rsidRPr="00ED225E">
              <w:t xml:space="preserve"> v. </w:t>
            </w:r>
            <w:proofErr w:type="spellStart"/>
            <w:r w:rsidRPr="00ED225E">
              <w:t>Wilder</w:t>
            </w:r>
            <w:proofErr w:type="spellEnd"/>
            <w:r w:rsidRPr="00ED225E"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C7653" w:rsidRPr="002316E3" w:rsidTr="003C7653">
        <w:trPr>
          <w:trHeight w:val="375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:rsidR="003C7653" w:rsidRPr="00ED225E" w:rsidRDefault="003C7653" w:rsidP="005005BA">
            <w:r w:rsidRPr="00ED225E">
              <w:t>MID-TERM EXAMINATION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C7653" w:rsidRPr="002316E3" w:rsidTr="003C7653">
        <w:trPr>
          <w:trHeight w:val="375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:rsidR="003C7653" w:rsidRPr="00ED225E" w:rsidRDefault="003C7653" w:rsidP="005005BA">
            <w:proofErr w:type="spellStart"/>
            <w:r w:rsidRPr="00ED225E">
              <w:t>The</w:t>
            </w:r>
            <w:proofErr w:type="spellEnd"/>
            <w:r w:rsidRPr="00ED225E">
              <w:t xml:space="preserve"> Battle of </w:t>
            </w:r>
            <w:proofErr w:type="spellStart"/>
            <w:r w:rsidRPr="00ED225E">
              <w:t>the</w:t>
            </w:r>
            <w:proofErr w:type="spellEnd"/>
            <w:r w:rsidRPr="00ED225E">
              <w:t xml:space="preserve"> Forms </w:t>
            </w:r>
            <w:proofErr w:type="spellStart"/>
            <w:r w:rsidRPr="00ED225E">
              <w:t>and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Boilerplate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Terms</w:t>
            </w:r>
            <w:proofErr w:type="spellEnd"/>
            <w:r w:rsidRPr="00ED225E">
              <w:t xml:space="preserve">: </w:t>
            </w:r>
            <w:proofErr w:type="spellStart"/>
            <w:r w:rsidRPr="00ED225E">
              <w:t>Adhesion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Contracts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and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Unconscionability</w:t>
            </w:r>
            <w:proofErr w:type="spellEnd"/>
            <w:r w:rsidRPr="00ED225E">
              <w:t xml:space="preserve"> (Read: </w:t>
            </w:r>
            <w:proofErr w:type="spellStart"/>
            <w:r w:rsidRPr="00ED225E">
              <w:t>Dorton</w:t>
            </w:r>
            <w:proofErr w:type="spellEnd"/>
            <w:r w:rsidRPr="00ED225E">
              <w:t xml:space="preserve"> v. </w:t>
            </w:r>
            <w:proofErr w:type="spellStart"/>
            <w:r w:rsidRPr="00ED225E">
              <w:t>Collins</w:t>
            </w:r>
            <w:proofErr w:type="spellEnd"/>
            <w:r w:rsidRPr="00ED225E"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C7653" w:rsidRPr="002316E3" w:rsidTr="003C7653">
        <w:trPr>
          <w:trHeight w:val="375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:rsidR="003C7653" w:rsidRPr="00ED225E" w:rsidRDefault="003C7653" w:rsidP="005005BA">
            <w:proofErr w:type="spellStart"/>
            <w:r w:rsidRPr="00ED225E">
              <w:t>Statute</w:t>
            </w:r>
            <w:proofErr w:type="spellEnd"/>
            <w:r w:rsidRPr="00ED225E">
              <w:t xml:space="preserve"> of </w:t>
            </w:r>
            <w:proofErr w:type="spellStart"/>
            <w:r w:rsidRPr="00ED225E">
              <w:t>Frauds</w:t>
            </w:r>
            <w:proofErr w:type="spellEnd"/>
            <w:r w:rsidRPr="00ED225E">
              <w:t xml:space="preserve">: </w:t>
            </w:r>
            <w:proofErr w:type="spellStart"/>
            <w:r w:rsidRPr="00ED225E">
              <w:t>Writing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and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Signing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contracts</w:t>
            </w:r>
            <w:proofErr w:type="spellEnd"/>
            <w:r w:rsidRPr="00ED225E">
              <w:t xml:space="preserve">, </w:t>
            </w:r>
            <w:proofErr w:type="spellStart"/>
            <w:r w:rsidRPr="00ED225E">
              <w:t>the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Reliance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exception</w:t>
            </w:r>
            <w:proofErr w:type="spellEnd"/>
            <w:r w:rsidRPr="00ED225E">
              <w:t xml:space="preserve"> (Read: </w:t>
            </w:r>
            <w:proofErr w:type="spellStart"/>
            <w:r w:rsidRPr="00ED225E">
              <w:t>Monarco</w:t>
            </w:r>
            <w:proofErr w:type="spellEnd"/>
            <w:r w:rsidRPr="00ED225E">
              <w:t xml:space="preserve"> v. </w:t>
            </w:r>
            <w:proofErr w:type="spellStart"/>
            <w:r w:rsidRPr="00ED225E">
              <w:t>Lo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Greco</w:t>
            </w:r>
            <w:proofErr w:type="spellEnd"/>
            <w:r w:rsidRPr="00ED225E"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C7653" w:rsidRPr="002316E3" w:rsidTr="003C7653">
        <w:trPr>
          <w:trHeight w:val="375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:rsidR="003C7653" w:rsidRPr="00ED225E" w:rsidRDefault="003C7653" w:rsidP="005005BA">
            <w:proofErr w:type="spellStart"/>
            <w:r w:rsidRPr="00ED225E">
              <w:t>Policing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the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Bargain</w:t>
            </w:r>
            <w:proofErr w:type="spellEnd"/>
            <w:r w:rsidRPr="00ED225E">
              <w:t xml:space="preserve">: </w:t>
            </w:r>
            <w:proofErr w:type="spellStart"/>
            <w:r w:rsidRPr="00ED225E">
              <w:t>Capacity</w:t>
            </w:r>
            <w:proofErr w:type="spellEnd"/>
            <w:r w:rsidRPr="00ED225E">
              <w:t xml:space="preserve">, </w:t>
            </w:r>
            <w:proofErr w:type="spellStart"/>
            <w:r w:rsidRPr="00ED225E">
              <w:t>Pressure</w:t>
            </w:r>
            <w:proofErr w:type="spellEnd"/>
            <w:r w:rsidRPr="00ED225E">
              <w:t xml:space="preserve"> in </w:t>
            </w:r>
            <w:proofErr w:type="spellStart"/>
            <w:r w:rsidRPr="00ED225E">
              <w:t>Bargaining</w:t>
            </w:r>
            <w:proofErr w:type="spellEnd"/>
            <w:r w:rsidRPr="00ED225E">
              <w:t xml:space="preserve">, </w:t>
            </w:r>
            <w:proofErr w:type="spellStart"/>
            <w:r w:rsidRPr="00ED225E">
              <w:t>Misrepresentation</w:t>
            </w:r>
            <w:proofErr w:type="spellEnd"/>
            <w:r w:rsidRPr="00ED225E">
              <w:t xml:space="preserve"> (Read: Austin </w:t>
            </w:r>
            <w:proofErr w:type="spellStart"/>
            <w:r w:rsidRPr="00ED225E">
              <w:t>Instrument</w:t>
            </w:r>
            <w:proofErr w:type="spellEnd"/>
            <w:r w:rsidRPr="00ED225E">
              <w:t xml:space="preserve"> v. </w:t>
            </w:r>
            <w:proofErr w:type="spellStart"/>
            <w:r w:rsidRPr="00ED225E">
              <w:t>Laurel</w:t>
            </w:r>
            <w:proofErr w:type="spellEnd"/>
            <w:r w:rsidRPr="00ED225E">
              <w:t xml:space="preserve"> </w:t>
            </w:r>
            <w:proofErr w:type="spellStart"/>
            <w:r w:rsidRPr="00ED225E">
              <w:t>and</w:t>
            </w:r>
            <w:proofErr w:type="spellEnd"/>
            <w:r w:rsidRPr="00ED225E">
              <w:t xml:space="preserve"> </w:t>
            </w:r>
            <w:proofErr w:type="spellStart"/>
            <w:r w:rsidR="00B22329" w:rsidRPr="00B22329">
              <w:t>Swinton</w:t>
            </w:r>
            <w:proofErr w:type="spellEnd"/>
            <w:r w:rsidR="00B22329" w:rsidRPr="00B22329">
              <w:t xml:space="preserve"> v. </w:t>
            </w:r>
            <w:proofErr w:type="spellStart"/>
            <w:r w:rsidR="00B22329" w:rsidRPr="00B22329">
              <w:t>Whitinsville</w:t>
            </w:r>
            <w:proofErr w:type="spellEnd"/>
            <w:r w:rsidR="00B22329" w:rsidRPr="00B22329"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C7653" w:rsidRPr="002316E3" w:rsidTr="003C7653">
        <w:trPr>
          <w:trHeight w:val="375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:rsidR="003C7653" w:rsidRPr="00ED225E" w:rsidRDefault="00B22329" w:rsidP="005005BA">
            <w:proofErr w:type="spellStart"/>
            <w:r w:rsidRPr="00B22329">
              <w:t>Remedies</w:t>
            </w:r>
            <w:proofErr w:type="spellEnd"/>
            <w:r w:rsidRPr="00B22329">
              <w:t xml:space="preserve"> </w:t>
            </w:r>
            <w:proofErr w:type="spellStart"/>
            <w:r w:rsidRPr="00B22329">
              <w:t>for</w:t>
            </w:r>
            <w:proofErr w:type="spellEnd"/>
            <w:r w:rsidRPr="00B22329">
              <w:t xml:space="preserve"> </w:t>
            </w:r>
            <w:proofErr w:type="spellStart"/>
            <w:r w:rsidRPr="00B22329">
              <w:t>Breach</w:t>
            </w:r>
            <w:proofErr w:type="spellEnd"/>
            <w:r w:rsidRPr="00B22329">
              <w:t xml:space="preserve">: </w:t>
            </w:r>
            <w:proofErr w:type="spellStart"/>
            <w:r w:rsidRPr="00B22329">
              <w:t>Common</w:t>
            </w:r>
            <w:proofErr w:type="spellEnd"/>
            <w:r w:rsidRPr="00B22329">
              <w:t xml:space="preserve"> </w:t>
            </w:r>
            <w:proofErr w:type="spellStart"/>
            <w:r w:rsidRPr="00B22329">
              <w:t>Law</w:t>
            </w:r>
            <w:proofErr w:type="spellEnd"/>
            <w:r w:rsidRPr="00B22329">
              <w:t xml:space="preserve"> </w:t>
            </w:r>
            <w:proofErr w:type="spellStart"/>
            <w:r w:rsidRPr="00B22329">
              <w:t>versus</w:t>
            </w:r>
            <w:proofErr w:type="spellEnd"/>
            <w:r w:rsidRPr="00B22329">
              <w:t xml:space="preserve"> UCC </w:t>
            </w:r>
            <w:proofErr w:type="spellStart"/>
            <w:r w:rsidRPr="00B22329">
              <w:t>Remedies</w:t>
            </w:r>
            <w:proofErr w:type="spellEnd"/>
            <w:r w:rsidRPr="00B22329">
              <w:t xml:space="preserve"> </w:t>
            </w:r>
            <w:proofErr w:type="gramStart"/>
            <w:r w:rsidRPr="00B22329">
              <w:t>(</w:t>
            </w:r>
            <w:proofErr w:type="gramEnd"/>
            <w:r w:rsidRPr="00B22329">
              <w:t xml:space="preserve">Read: R.E. </w:t>
            </w:r>
            <w:proofErr w:type="spellStart"/>
            <w:r w:rsidRPr="00B22329">
              <w:t>Davis</w:t>
            </w:r>
            <w:proofErr w:type="spellEnd"/>
            <w:r w:rsidRPr="00B22329">
              <w:t xml:space="preserve"> </w:t>
            </w:r>
            <w:proofErr w:type="spellStart"/>
            <w:r w:rsidRPr="00B22329">
              <w:t>Chemical</w:t>
            </w:r>
            <w:proofErr w:type="spellEnd"/>
            <w:r w:rsidRPr="00B22329">
              <w:t xml:space="preserve"> </w:t>
            </w:r>
            <w:proofErr w:type="spellStart"/>
            <w:r w:rsidRPr="00B22329">
              <w:t>Corp</w:t>
            </w:r>
            <w:proofErr w:type="spellEnd"/>
            <w:r w:rsidRPr="00B22329">
              <w:t xml:space="preserve">. </w:t>
            </w:r>
            <w:proofErr w:type="gramStart"/>
            <w:r w:rsidRPr="00B22329">
              <w:t>v</w:t>
            </w:r>
            <w:proofErr w:type="gramEnd"/>
            <w:r w:rsidRPr="00B22329">
              <w:t xml:space="preserve">. </w:t>
            </w:r>
            <w:proofErr w:type="spellStart"/>
            <w:r w:rsidRPr="00B22329">
              <w:t>Diasonics</w:t>
            </w:r>
            <w:proofErr w:type="spellEnd"/>
            <w:r w:rsidRPr="00B22329">
              <w:t xml:space="preserve">, </w:t>
            </w:r>
            <w:proofErr w:type="spellStart"/>
            <w:r w:rsidRPr="00B22329">
              <w:t>Inc</w:t>
            </w:r>
            <w:proofErr w:type="spellEnd"/>
            <w:r w:rsidRPr="00B22329">
              <w:t>.)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C7653" w:rsidRPr="002316E3" w:rsidTr="003C7653">
        <w:trPr>
          <w:trHeight w:val="375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:rsidR="003C7653" w:rsidRPr="00ED225E" w:rsidRDefault="00B22329" w:rsidP="005005BA">
            <w:proofErr w:type="spellStart"/>
            <w:r w:rsidRPr="00B22329">
              <w:t>Limitations</w:t>
            </w:r>
            <w:proofErr w:type="spellEnd"/>
            <w:r w:rsidRPr="00B22329">
              <w:t xml:space="preserve"> on </w:t>
            </w:r>
            <w:proofErr w:type="spellStart"/>
            <w:r w:rsidRPr="00B22329">
              <w:t>Damages</w:t>
            </w:r>
            <w:proofErr w:type="spellEnd"/>
            <w:r w:rsidRPr="00B22329">
              <w:t xml:space="preserve">: </w:t>
            </w:r>
            <w:proofErr w:type="spellStart"/>
            <w:r w:rsidRPr="00B22329">
              <w:t>Mitigation</w:t>
            </w:r>
            <w:proofErr w:type="spellEnd"/>
            <w:r w:rsidRPr="00B22329">
              <w:t xml:space="preserve">, </w:t>
            </w:r>
            <w:proofErr w:type="spellStart"/>
            <w:r w:rsidRPr="00B22329">
              <w:t>Avoidability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C7653" w:rsidRPr="002316E3" w:rsidTr="003C7653">
        <w:trPr>
          <w:trHeight w:val="375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:rsidR="003C7653" w:rsidRPr="00ED225E" w:rsidRDefault="00B22329" w:rsidP="005005BA">
            <w:proofErr w:type="spellStart"/>
            <w:r w:rsidRPr="00B22329">
              <w:t>Finding</w:t>
            </w:r>
            <w:proofErr w:type="spellEnd"/>
            <w:r w:rsidRPr="00B22329">
              <w:t xml:space="preserve"> </w:t>
            </w:r>
            <w:proofErr w:type="spellStart"/>
            <w:r w:rsidRPr="00B22329">
              <w:t>the</w:t>
            </w:r>
            <w:proofErr w:type="spellEnd"/>
            <w:r w:rsidRPr="00B22329">
              <w:t xml:space="preserve"> </w:t>
            </w:r>
            <w:proofErr w:type="spellStart"/>
            <w:r w:rsidRPr="00B22329">
              <w:t>Law</w:t>
            </w:r>
            <w:proofErr w:type="spellEnd"/>
            <w:r w:rsidRPr="00B22329">
              <w:t xml:space="preserve"> of </w:t>
            </w:r>
            <w:proofErr w:type="spellStart"/>
            <w:r w:rsidRPr="00B22329">
              <w:t>Contract</w:t>
            </w:r>
            <w:proofErr w:type="spellEnd"/>
            <w:r w:rsidRPr="00B22329">
              <w:t xml:space="preserve">: </w:t>
            </w:r>
            <w:proofErr w:type="spellStart"/>
            <w:r w:rsidRPr="00B22329">
              <w:t>Interpreting</w:t>
            </w:r>
            <w:proofErr w:type="spellEnd"/>
            <w:r w:rsidRPr="00B22329">
              <w:t xml:space="preserve"> </w:t>
            </w:r>
            <w:proofErr w:type="spellStart"/>
            <w:r w:rsidRPr="00B22329">
              <w:t>Contract</w:t>
            </w:r>
            <w:proofErr w:type="spellEnd"/>
            <w:r w:rsidRPr="00B22329">
              <w:t xml:space="preserve"> Language, </w:t>
            </w:r>
            <w:proofErr w:type="spellStart"/>
            <w:r w:rsidRPr="00B22329">
              <w:t>Gap</w:t>
            </w:r>
            <w:proofErr w:type="spellEnd"/>
            <w:r w:rsidRPr="00B22329">
              <w:t xml:space="preserve"> </w:t>
            </w:r>
            <w:proofErr w:type="spellStart"/>
            <w:r w:rsidRPr="00B22329">
              <w:t>Filling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3C7653" w:rsidRPr="002316E3" w:rsidTr="003C7653">
        <w:trPr>
          <w:trHeight w:val="375"/>
          <w:tblCellSpacing w:w="15" w:type="dxa"/>
          <w:jc w:val="center"/>
        </w:trPr>
        <w:tc>
          <w:tcPr>
            <w:tcW w:w="3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35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bottom"/>
          </w:tcPr>
          <w:p w:rsidR="003C7653" w:rsidRPr="00ED225E" w:rsidRDefault="00B22329" w:rsidP="005005BA">
            <w:proofErr w:type="spellStart"/>
            <w:r>
              <w:t>Review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Final </w:t>
            </w:r>
            <w:proofErr w:type="spellStart"/>
            <w:r>
              <w:t>Exam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C51701" w:rsidRDefault="003C7653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590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B856E6" w:rsidRPr="002316E3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3C7653" w:rsidRPr="003C7653" w:rsidRDefault="003C7653" w:rsidP="003C7653">
            <w:pPr>
              <w:spacing w:after="0" w:line="256" w:lineRule="atLeast"/>
              <w:rPr>
                <w:rFonts w:ascii="Verdana" w:hAnsi="Verdana"/>
                <w:b/>
                <w:color w:val="444444"/>
                <w:sz w:val="18"/>
                <w:szCs w:val="18"/>
                <w:lang w:eastAsia="tr-TR"/>
              </w:rPr>
            </w:pPr>
            <w:r w:rsidRPr="003C765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E. Allan </w:t>
            </w:r>
            <w:proofErr w:type="spellStart"/>
            <w:r w:rsidRPr="003C765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Farnsworth</w:t>
            </w:r>
            <w:proofErr w:type="spellEnd"/>
            <w:r w:rsidRPr="003C765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William F. </w:t>
            </w:r>
            <w:proofErr w:type="spellStart"/>
            <w:r w:rsidRPr="003C765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Young</w:t>
            </w:r>
            <w:proofErr w:type="spellEnd"/>
            <w:r w:rsidRPr="003C765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C765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3C765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765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Carol</w:t>
            </w:r>
            <w:proofErr w:type="spellEnd"/>
            <w:r w:rsidRPr="003C765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765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Sanger</w:t>
            </w:r>
            <w:proofErr w:type="spellEnd"/>
            <w:r w:rsidRPr="003C765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</w:t>
            </w:r>
          </w:p>
          <w:p w:rsidR="00B856E6" w:rsidRPr="002316E3" w:rsidRDefault="003C7653" w:rsidP="003C7653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Farnsworth</w:t>
            </w:r>
            <w:proofErr w:type="spellEnd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Young</w:t>
            </w:r>
            <w:proofErr w:type="spellEnd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Sanger</w:t>
            </w:r>
            <w:proofErr w:type="spellEnd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Cohen</w:t>
            </w:r>
            <w:proofErr w:type="spellEnd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Brooks</w:t>
            </w:r>
            <w:proofErr w:type="spellEnd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' </w:t>
            </w:r>
            <w:proofErr w:type="spellStart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Cases</w:t>
            </w:r>
            <w:proofErr w:type="spellEnd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 on </w:t>
            </w:r>
            <w:proofErr w:type="spellStart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Contracts</w:t>
            </w:r>
            <w:proofErr w:type="spellEnd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 xml:space="preserve">, 7th </w:t>
            </w:r>
            <w:proofErr w:type="spellStart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edition</w:t>
            </w:r>
            <w:proofErr w:type="spellEnd"/>
            <w:r w:rsidRPr="003C7653">
              <w:rPr>
                <w:rFonts w:ascii="Verdana" w:hAnsi="Verdana"/>
                <w:iCs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3C7653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None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00"/>
        <w:gridCol w:w="7063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133"/>
        <w:gridCol w:w="1685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818"/>
      </w:tblGrid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7103"/>
        <w:gridCol w:w="258"/>
        <w:gridCol w:w="258"/>
        <w:gridCol w:w="258"/>
        <w:gridCol w:w="258"/>
        <w:gridCol w:w="258"/>
        <w:gridCol w:w="86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B856E6" w:rsidRPr="002316E3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3C765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3C765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3C765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3C765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3C765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3C765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3C765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F0735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3C765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B856E6" w:rsidRPr="00C51701" w:rsidRDefault="00B856E6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B856E6" w:rsidRPr="00C51701" w:rsidRDefault="00B856E6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906"/>
        <w:gridCol w:w="911"/>
        <w:gridCol w:w="1001"/>
      </w:tblGrid>
      <w:tr w:rsidR="00B856E6" w:rsidRPr="002316E3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B856E6" w:rsidRPr="002316E3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</w:t>
            </w:r>
            <w:r w:rsidR="009115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ion</w:t>
            </w:r>
            <w:proofErr w:type="spellEnd"/>
            <w:r w:rsidR="009115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="009115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="009115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115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="009115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115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="009115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="009115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="009115F0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: 14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3C7653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9115F0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9115F0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9115F0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9115F0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56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9115F0" w:rsidP="003C7653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117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9115F0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4,68</w:t>
            </w:r>
          </w:p>
        </w:tc>
      </w:tr>
      <w:tr w:rsidR="00B856E6" w:rsidRPr="002316E3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C51701" w:rsidRDefault="00B856E6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B856E6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2316E3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B856E6" w:rsidRPr="002316E3" w:rsidRDefault="009115F0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5</w:t>
            </w:r>
          </w:p>
        </w:tc>
      </w:tr>
    </w:tbl>
    <w:p w:rsidR="00B856E6" w:rsidRDefault="00B856E6"/>
    <w:sectPr w:rsidR="00B856E6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1701"/>
    <w:rsid w:val="00144AFD"/>
    <w:rsid w:val="002316E3"/>
    <w:rsid w:val="002420E2"/>
    <w:rsid w:val="003B04F0"/>
    <w:rsid w:val="003C7653"/>
    <w:rsid w:val="0042361E"/>
    <w:rsid w:val="00451231"/>
    <w:rsid w:val="004E31A8"/>
    <w:rsid w:val="00562006"/>
    <w:rsid w:val="00660279"/>
    <w:rsid w:val="008A7CB8"/>
    <w:rsid w:val="008B5BE1"/>
    <w:rsid w:val="008F773C"/>
    <w:rsid w:val="009115F0"/>
    <w:rsid w:val="009726E2"/>
    <w:rsid w:val="00A21E2C"/>
    <w:rsid w:val="00AD7E13"/>
    <w:rsid w:val="00B22329"/>
    <w:rsid w:val="00B5779C"/>
    <w:rsid w:val="00B856E6"/>
    <w:rsid w:val="00C51701"/>
    <w:rsid w:val="00C92D50"/>
    <w:rsid w:val="00CA53DB"/>
    <w:rsid w:val="00D14394"/>
    <w:rsid w:val="00D71981"/>
    <w:rsid w:val="00DC422B"/>
    <w:rsid w:val="00EC2BB0"/>
    <w:rsid w:val="00F0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7974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62707975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62707973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62707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 </dc:title>
  <dc:subject/>
  <dc:creator>Merve Baykal</dc:creator>
  <cp:keywords/>
  <dc:description/>
  <cp:lastModifiedBy>Samsung-pc</cp:lastModifiedBy>
  <cp:revision>9</cp:revision>
  <dcterms:created xsi:type="dcterms:W3CDTF">2013-07-05T10:01:00Z</dcterms:created>
  <dcterms:modified xsi:type="dcterms:W3CDTF">2017-06-11T15:47:00Z</dcterms:modified>
</cp:coreProperties>
</file>