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6"/>
        <w:gridCol w:w="1429"/>
        <w:gridCol w:w="1513"/>
        <w:gridCol w:w="1502"/>
        <w:gridCol w:w="1161"/>
        <w:gridCol w:w="932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Insurance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Bülent Sözer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Bülent Sözer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theoretical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application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insurance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04F33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definition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conclusion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types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insurance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insurance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insurer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extent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insurance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coverage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termination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insurances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C04F33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that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insurance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legislation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C04F33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Analysis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insurance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infer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results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79"/>
        <w:gridCol w:w="6309"/>
        <w:gridCol w:w="1612"/>
      </w:tblGrid>
      <w:tr w:rsidR="007241F1" w:rsidRPr="00872BC7" w:rsidTr="00C04F33">
        <w:trPr>
          <w:trHeight w:val="525"/>
        </w:trPr>
        <w:tc>
          <w:tcPr>
            <w:tcW w:w="0" w:type="auto"/>
            <w:gridSpan w:val="3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04F33">
        <w:trPr>
          <w:trHeight w:val="450"/>
        </w:trPr>
        <w:tc>
          <w:tcPr>
            <w:tcW w:w="371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612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C04F33" w:rsidRPr="000F15F9" w:rsidRDefault="00C04F33" w:rsidP="00C04F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Insurance</w:t>
            </w:r>
            <w:proofErr w:type="spellEnd"/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C04F33" w:rsidRPr="000F15F9" w:rsidRDefault="00C04F33" w:rsidP="00C04F33">
            <w:pPr>
              <w:rPr>
                <w:bCs/>
                <w:color w:val="000000"/>
              </w:rPr>
            </w:pPr>
            <w:r w:rsidRPr="000F15F9">
              <w:rPr>
                <w:bCs/>
                <w:color w:val="000000"/>
              </w:rPr>
              <w:t xml:space="preserve">Legal </w:t>
            </w:r>
            <w:proofErr w:type="spellStart"/>
            <w:r w:rsidRPr="000F15F9">
              <w:rPr>
                <w:bCs/>
                <w:color w:val="000000"/>
              </w:rPr>
              <w:t>requirements</w:t>
            </w:r>
            <w:proofErr w:type="spellEnd"/>
            <w:r w:rsidRPr="000F15F9">
              <w:rPr>
                <w:bCs/>
                <w:color w:val="000000"/>
              </w:rPr>
              <w:t xml:space="preserve"> of </w:t>
            </w:r>
            <w:proofErr w:type="spellStart"/>
            <w:r w:rsidRPr="000F15F9">
              <w:rPr>
                <w:bCs/>
                <w:color w:val="000000"/>
              </w:rPr>
              <w:t>Insurance</w:t>
            </w:r>
            <w:proofErr w:type="spellEnd"/>
            <w:r w:rsidRPr="000F15F9">
              <w:rPr>
                <w:bCs/>
                <w:color w:val="000000"/>
              </w:rPr>
              <w:t xml:space="preserve"> </w:t>
            </w:r>
            <w:proofErr w:type="spellStart"/>
            <w:r w:rsidRPr="000F15F9">
              <w:rPr>
                <w:bCs/>
                <w:color w:val="000000"/>
              </w:rPr>
              <w:t>Companies</w:t>
            </w:r>
            <w:proofErr w:type="spellEnd"/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C04F33" w:rsidRPr="000F15F9" w:rsidRDefault="00C04F33" w:rsidP="00C04F33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Defitinion</w:t>
            </w:r>
            <w:proofErr w:type="spellEnd"/>
            <w:r>
              <w:rPr>
                <w:bCs/>
                <w:color w:val="000000"/>
              </w:rPr>
              <w:t xml:space="preserve"> of </w:t>
            </w:r>
            <w:proofErr w:type="spellStart"/>
            <w:r>
              <w:rPr>
                <w:bCs/>
                <w:color w:val="000000"/>
              </w:rPr>
              <w:t>Insurance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Contract</w:t>
            </w:r>
            <w:proofErr w:type="spellEnd"/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C04F33" w:rsidRPr="000F15F9" w:rsidRDefault="00C04F33" w:rsidP="00C04F33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F15F9">
              <w:rPr>
                <w:bCs/>
                <w:color w:val="000000"/>
              </w:rPr>
              <w:t>Policy</w:t>
            </w:r>
            <w:proofErr w:type="spellEnd"/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C04F33" w:rsidRPr="000F15F9" w:rsidRDefault="00C04F33" w:rsidP="00C04F33">
            <w:pPr>
              <w:rPr>
                <w:bCs/>
                <w:color w:val="000000"/>
              </w:rPr>
            </w:pPr>
            <w:proofErr w:type="spellStart"/>
            <w:r w:rsidRPr="000F15F9">
              <w:rPr>
                <w:bCs/>
                <w:color w:val="000000"/>
              </w:rPr>
              <w:t>Duty</w:t>
            </w:r>
            <w:proofErr w:type="spellEnd"/>
            <w:r w:rsidRPr="000F15F9">
              <w:rPr>
                <w:bCs/>
                <w:color w:val="000000"/>
              </w:rPr>
              <w:t xml:space="preserve"> of </w:t>
            </w:r>
            <w:proofErr w:type="spellStart"/>
            <w:r w:rsidRPr="000F15F9">
              <w:rPr>
                <w:bCs/>
                <w:color w:val="000000"/>
              </w:rPr>
              <w:t>payment</w:t>
            </w:r>
            <w:proofErr w:type="spellEnd"/>
            <w:r w:rsidRPr="000F15F9">
              <w:rPr>
                <w:bCs/>
                <w:color w:val="000000"/>
              </w:rPr>
              <w:t xml:space="preserve"> </w:t>
            </w:r>
            <w:proofErr w:type="spellStart"/>
            <w:r w:rsidRPr="000F15F9">
              <w:rPr>
                <w:bCs/>
                <w:color w:val="000000"/>
              </w:rPr>
              <w:t>the</w:t>
            </w:r>
            <w:proofErr w:type="spellEnd"/>
            <w:r w:rsidRPr="000F15F9">
              <w:rPr>
                <w:bCs/>
                <w:color w:val="000000"/>
              </w:rPr>
              <w:t xml:space="preserve"> </w:t>
            </w:r>
            <w:proofErr w:type="spellStart"/>
            <w:r w:rsidRPr="000F15F9">
              <w:rPr>
                <w:bCs/>
                <w:color w:val="000000"/>
              </w:rPr>
              <w:t>premiums</w:t>
            </w:r>
            <w:proofErr w:type="spellEnd"/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C04F33" w:rsidRPr="000F15F9" w:rsidRDefault="00C04F33" w:rsidP="00C04F3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Duty</w:t>
            </w:r>
            <w:proofErr w:type="spellEnd"/>
            <w:r>
              <w:rPr>
                <w:bCs/>
                <w:color w:val="000000"/>
              </w:rPr>
              <w:t xml:space="preserve"> of </w:t>
            </w:r>
            <w:proofErr w:type="spellStart"/>
            <w:r>
              <w:rPr>
                <w:bCs/>
                <w:color w:val="000000"/>
              </w:rPr>
              <w:t>disclosure</w:t>
            </w:r>
            <w:proofErr w:type="spellEnd"/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C04F33" w:rsidRPr="00DA17F0" w:rsidRDefault="00C04F33" w:rsidP="00C04F33">
            <w:pPr>
              <w:rPr>
                <w:color w:val="000000"/>
              </w:rPr>
            </w:pPr>
            <w:r>
              <w:rPr>
                <w:color w:val="000000"/>
              </w:rPr>
              <w:t>MID-TERM EXAMINATION</w:t>
            </w:r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C04F33" w:rsidRPr="00DA17F0" w:rsidRDefault="00C04F33" w:rsidP="00C04F3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Duty</w:t>
            </w:r>
            <w:proofErr w:type="spellEnd"/>
            <w:r>
              <w:rPr>
                <w:bCs/>
                <w:color w:val="000000"/>
              </w:rPr>
              <w:t xml:space="preserve"> of </w:t>
            </w:r>
            <w:proofErr w:type="spellStart"/>
            <w:r>
              <w:rPr>
                <w:bCs/>
                <w:color w:val="000000"/>
              </w:rPr>
              <w:t>disclosure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before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forming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contract</w:t>
            </w:r>
            <w:proofErr w:type="spellEnd"/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C04F33" w:rsidRPr="00DA17F0" w:rsidRDefault="00C04F33" w:rsidP="00C04F3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Duty</w:t>
            </w:r>
            <w:proofErr w:type="spellEnd"/>
            <w:r>
              <w:rPr>
                <w:bCs/>
                <w:color w:val="000000"/>
              </w:rPr>
              <w:t xml:space="preserve"> of </w:t>
            </w:r>
            <w:proofErr w:type="spellStart"/>
            <w:r>
              <w:rPr>
                <w:bCs/>
                <w:color w:val="000000"/>
              </w:rPr>
              <w:t>disclosure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during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contract</w:t>
            </w:r>
            <w:proofErr w:type="spellEnd"/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C04F33" w:rsidRPr="00DA17F0" w:rsidRDefault="00C04F33" w:rsidP="00C04F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Duty</w:t>
            </w:r>
            <w:proofErr w:type="spellEnd"/>
            <w:r>
              <w:rPr>
                <w:bCs/>
                <w:color w:val="000000"/>
              </w:rPr>
              <w:t xml:space="preserve"> of </w:t>
            </w:r>
            <w:proofErr w:type="spellStart"/>
            <w:r>
              <w:rPr>
                <w:bCs/>
                <w:color w:val="000000"/>
              </w:rPr>
              <w:t>disclosure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after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rik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occured</w:t>
            </w:r>
            <w:proofErr w:type="spellEnd"/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C04F33" w:rsidRPr="00DA17F0" w:rsidRDefault="00C04F33" w:rsidP="00C04F3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Features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Insurer’s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obligations</w:t>
            </w:r>
            <w:proofErr w:type="spellEnd"/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C04F33" w:rsidRPr="00DA17F0" w:rsidRDefault="00C04F33" w:rsidP="00C04F33">
            <w:pPr>
              <w:rPr>
                <w:color w:val="000000"/>
              </w:rPr>
            </w:pPr>
            <w:r>
              <w:rPr>
                <w:color w:val="000000"/>
              </w:rPr>
              <w:t xml:space="preserve"> Risk</w:t>
            </w:r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C04F33" w:rsidRPr="00DA17F0" w:rsidRDefault="00C04F33" w:rsidP="00C04F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Subrogation</w:t>
            </w:r>
            <w:proofErr w:type="spellEnd"/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04F33" w:rsidRPr="00872BC7" w:rsidTr="00C04F33">
        <w:trPr>
          <w:trHeight w:val="375"/>
        </w:trPr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C04F33" w:rsidRPr="00553461" w:rsidRDefault="00C04F33" w:rsidP="00C04F33">
            <w:pPr>
              <w:rPr>
                <w:bCs/>
                <w:color w:val="000000"/>
              </w:rPr>
            </w:pPr>
            <w:r w:rsidRPr="00553461">
              <w:rPr>
                <w:bCs/>
                <w:color w:val="000000"/>
              </w:rPr>
              <w:t>Final</w:t>
            </w:r>
          </w:p>
        </w:tc>
        <w:tc>
          <w:tcPr>
            <w:tcW w:w="0" w:type="auto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Rayegân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Kender, Hususi Sigorta Hukuku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04F33" w:rsidRPr="00872BC7" w:rsidTr="001D18C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4F33" w:rsidRPr="00C51701" w:rsidRDefault="00C04F33" w:rsidP="00C0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04F33" w:rsidRPr="00872BC7" w:rsidTr="001D18C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4F33" w:rsidRPr="00C51701" w:rsidRDefault="00C04F33" w:rsidP="00C0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04F33" w:rsidRPr="00872BC7" w:rsidTr="001D18C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4F33" w:rsidRPr="00C51701" w:rsidRDefault="00C04F33" w:rsidP="00C0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04F33" w:rsidRPr="00872BC7" w:rsidTr="001D18C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4F33" w:rsidRPr="00C51701" w:rsidRDefault="00C04F33" w:rsidP="00C0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04F33" w:rsidRPr="00872BC7" w:rsidTr="001D18C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4F33" w:rsidRPr="00C51701" w:rsidRDefault="00C04F33" w:rsidP="00C0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04F33" w:rsidRPr="00872BC7" w:rsidTr="001D18C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4F33" w:rsidRPr="00C51701" w:rsidRDefault="00C04F33" w:rsidP="00C0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04F33" w:rsidRPr="00872BC7" w:rsidTr="001D18C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4F33" w:rsidRPr="00C51701" w:rsidRDefault="00C04F33" w:rsidP="00C0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04F33" w:rsidRPr="00872BC7" w:rsidTr="001D18C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4F33" w:rsidRPr="00C51701" w:rsidRDefault="00C04F33" w:rsidP="00C0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04F33" w:rsidRPr="00872BC7" w:rsidTr="001D18C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C04F33" w:rsidRPr="00C51701" w:rsidRDefault="00C04F33" w:rsidP="00C0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04F33" w:rsidRPr="00872BC7" w:rsidTr="001D18C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C04F33" w:rsidRPr="00C51701" w:rsidRDefault="00C04F33" w:rsidP="00C0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04F33" w:rsidRPr="00872BC7" w:rsidTr="001D18C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C51701" w:rsidRDefault="00C04F33" w:rsidP="00C04F33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4F33" w:rsidRPr="00EE5895" w:rsidRDefault="00C04F33" w:rsidP="00C04F3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C04F33" w:rsidRPr="00C51701" w:rsidRDefault="00C04F33" w:rsidP="00C0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2,32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04F3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04F33"/>
    <w:rsid w:val="00C51701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752BF"/>
  <w15:docId w15:val="{9F1CDE22-5500-4F27-9FB0-61892BA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  <w:style w:type="table" w:styleId="TabloKlavuzuAk">
    <w:name w:val="Grid Table Light"/>
    <w:basedOn w:val="NormalTablo"/>
    <w:uiPriority w:val="40"/>
    <w:rsid w:val="00C04F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2017-06-11T11:20:00Z</dcterms:created>
  <dcterms:modified xsi:type="dcterms:W3CDTF">2017-06-11T11:20:00Z</dcterms:modified>
</cp:coreProperties>
</file>