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10"/>
        <w:gridCol w:w="1323"/>
        <w:gridCol w:w="1413"/>
        <w:gridCol w:w="1402"/>
        <w:gridCol w:w="1084"/>
        <w:gridCol w:w="87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C81C5C" w:rsidRPr="00872BC7" w:rsidTr="0022418D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81C5C" w:rsidRPr="003C6462" w:rsidRDefault="00C81C5C" w:rsidP="00C81C5C">
            <w:pPr>
              <w:rPr>
                <w:color w:val="000000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Law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Property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81C5C" w:rsidRPr="003C6462" w:rsidRDefault="00C81C5C" w:rsidP="00C81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81C5C" w:rsidRPr="003C6462" w:rsidRDefault="00C81C5C" w:rsidP="00C81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81C5C" w:rsidRPr="003C6462" w:rsidRDefault="00C81C5C" w:rsidP="00C81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81C5C" w:rsidRPr="003C6462" w:rsidRDefault="00C81C5C" w:rsidP="00C81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81C5C" w:rsidRPr="003C6462" w:rsidRDefault="00C81C5C" w:rsidP="00C81C5C">
            <w:pPr>
              <w:jc w:val="center"/>
            </w:pPr>
            <w:r>
              <w:t>4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81C5C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81C5C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81C5C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81C5C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Abdülkadir Arpacı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81C5C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Abdülkadir Arpacı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Default="00C81C5C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Oğuz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Vuraloğlu</w:t>
            </w:r>
            <w:proofErr w:type="spellEnd"/>
          </w:p>
          <w:p w:rsidR="00C81C5C" w:rsidRDefault="00C81C5C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Eda Erdem</w:t>
            </w:r>
          </w:p>
          <w:p w:rsidR="00C81C5C" w:rsidRDefault="00C81C5C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Seda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Kökgör</w:t>
            </w:r>
            <w:proofErr w:type="spellEnd"/>
          </w:p>
          <w:p w:rsidR="00C81C5C" w:rsidRPr="00C51701" w:rsidRDefault="00C81C5C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Aslı Börek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81C5C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goal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important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concepts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doing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may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analyze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understand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evaluate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81C5C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Essential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Law of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C81C5C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provided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suggest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kind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leagal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arising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they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may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prepare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themselves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future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1-14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79"/>
        <w:gridCol w:w="6309"/>
        <w:gridCol w:w="1612"/>
      </w:tblGrid>
      <w:tr w:rsidR="007241F1" w:rsidRPr="00872BC7" w:rsidTr="00C81C5C">
        <w:trPr>
          <w:trHeight w:val="525"/>
        </w:trPr>
        <w:tc>
          <w:tcPr>
            <w:tcW w:w="0" w:type="auto"/>
            <w:gridSpan w:val="3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81C5C">
        <w:trPr>
          <w:trHeight w:val="450"/>
        </w:trPr>
        <w:tc>
          <w:tcPr>
            <w:tcW w:w="371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612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Acquisiton</w:t>
            </w:r>
            <w:proofErr w:type="spellEnd"/>
            <w:r w:rsidRPr="00C81C5C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real</w:t>
            </w:r>
            <w:proofErr w:type="spellEnd"/>
            <w:r w:rsidRPr="00C81C5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property</w:t>
            </w:r>
            <w:proofErr w:type="spellEnd"/>
            <w:r w:rsidRPr="00C81C5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by</w:t>
            </w:r>
            <w:proofErr w:type="spellEnd"/>
            <w:r w:rsidRPr="00C81C5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means</w:t>
            </w:r>
            <w:proofErr w:type="spellEnd"/>
            <w:r w:rsidRPr="00C81C5C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prescription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Acquisiton</w:t>
            </w:r>
            <w:proofErr w:type="spellEnd"/>
            <w:r w:rsidRPr="00C81C5C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real</w:t>
            </w:r>
            <w:proofErr w:type="spellEnd"/>
            <w:r w:rsidRPr="00C81C5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property</w:t>
            </w:r>
            <w:proofErr w:type="spellEnd"/>
            <w:r w:rsidRPr="00C81C5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by</w:t>
            </w:r>
            <w:proofErr w:type="spellEnd"/>
            <w:r w:rsidRPr="00C81C5C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means</w:t>
            </w:r>
            <w:proofErr w:type="spellEnd"/>
            <w:r w:rsidRPr="00C81C5C">
              <w:rPr>
                <w:rFonts w:asciiTheme="minorHAnsi" w:hAnsiTheme="minorHAnsi" w:cstheme="minorHAnsi"/>
                <w:color w:val="000000"/>
              </w:rPr>
              <w:t xml:space="preserve"> of </w:t>
            </w: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prescription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>Forfeiture</w:t>
            </w:r>
            <w:proofErr w:type="spellEnd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 xml:space="preserve"> of </w:t>
            </w: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>real</w:t>
            </w:r>
            <w:proofErr w:type="spellEnd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>property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>Scope</w:t>
            </w:r>
            <w:proofErr w:type="spellEnd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 xml:space="preserve"> of Real </w:t>
            </w: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>Property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>Scope</w:t>
            </w:r>
            <w:proofErr w:type="spellEnd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 xml:space="preserve"> of Real </w:t>
            </w: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>Property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C81C5C">
              <w:rPr>
                <w:rFonts w:asciiTheme="minorHAnsi" w:hAnsiTheme="minorHAnsi" w:cstheme="minorHAnsi"/>
                <w:bCs/>
                <w:color w:val="000000"/>
              </w:rPr>
              <w:t>Restrictions</w:t>
            </w:r>
            <w:proofErr w:type="spellEnd"/>
            <w:r w:rsidRPr="00C81C5C">
              <w:rPr>
                <w:rFonts w:asciiTheme="minorHAnsi" w:hAnsiTheme="minorHAnsi" w:cstheme="minorHAnsi"/>
                <w:bCs/>
                <w:color w:val="000000"/>
              </w:rPr>
              <w:t xml:space="preserve"> of Real </w:t>
            </w:r>
            <w:proofErr w:type="spellStart"/>
            <w:r w:rsidRPr="00C81C5C">
              <w:rPr>
                <w:rFonts w:asciiTheme="minorHAnsi" w:hAnsiTheme="minorHAnsi" w:cstheme="minorHAnsi"/>
                <w:bCs/>
                <w:color w:val="000000"/>
              </w:rPr>
              <w:t>Property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color w:val="000000"/>
              </w:rPr>
            </w:pPr>
            <w:r w:rsidRPr="00C81C5C">
              <w:rPr>
                <w:rFonts w:asciiTheme="minorHAnsi" w:hAnsiTheme="minorHAnsi" w:cstheme="minorHAnsi"/>
                <w:color w:val="000000"/>
              </w:rPr>
              <w:t>MID-TERM EXAMINATION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color w:val="000000"/>
              </w:rPr>
              <w:t>Liability</w:t>
            </w:r>
            <w:proofErr w:type="spellEnd"/>
            <w:r w:rsidRPr="00C81C5C">
              <w:rPr>
                <w:rStyle w:val="apple-style-span"/>
                <w:rFonts w:asciiTheme="minorHAnsi" w:hAnsiTheme="minorHAnsi" w:cstheme="minorHAnsi"/>
                <w:color w:val="000000"/>
              </w:rPr>
              <w:t xml:space="preserve"> of Real </w:t>
            </w: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color w:val="000000"/>
              </w:rPr>
              <w:t>Property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color w:val="000000"/>
              </w:rPr>
              <w:t>divided</w:t>
            </w:r>
            <w:proofErr w:type="spellEnd"/>
            <w:r w:rsidRPr="00C81C5C">
              <w:rPr>
                <w:rStyle w:val="apple-style-span"/>
                <w:rFonts w:asciiTheme="minorHAnsi" w:hAnsiTheme="minorHAnsi" w:cstheme="minorHAnsi"/>
                <w:color w:val="000000"/>
              </w:rPr>
              <w:t xml:space="preserve"> co-</w:t>
            </w: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color w:val="000000"/>
              </w:rPr>
              <w:t>ownership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C81C5C">
              <w:rPr>
                <w:rFonts w:asciiTheme="minorHAnsi" w:hAnsiTheme="minorHAnsi" w:cstheme="minorHAnsi"/>
                <w:color w:val="000000"/>
              </w:rPr>
              <w:t xml:space="preserve">Limited Real </w:t>
            </w: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Rights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1C5C">
              <w:rPr>
                <w:rFonts w:asciiTheme="minorHAnsi" w:hAnsiTheme="minorHAnsi" w:cstheme="minorHAnsi"/>
                <w:color w:val="000000"/>
              </w:rPr>
              <w:t>Servitudes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>mortgage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bCs/>
                <w:color w:val="000000"/>
              </w:rPr>
              <w:t>mortgage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C81C5C" w:rsidRPr="00C81C5C" w:rsidRDefault="00C81C5C" w:rsidP="00C81C5C">
            <w:pPr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color w:val="000000"/>
              </w:rPr>
              <w:t>chattel</w:t>
            </w:r>
            <w:proofErr w:type="spellEnd"/>
            <w:r w:rsidRPr="00C81C5C">
              <w:rPr>
                <w:rStyle w:val="apple-style-spa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81C5C">
              <w:rPr>
                <w:rStyle w:val="apple-style-span"/>
                <w:rFonts w:asciiTheme="minorHAnsi" w:hAnsiTheme="minorHAnsi" w:cstheme="minorHAnsi"/>
                <w:color w:val="000000"/>
              </w:rPr>
              <w:t>mortgage</w:t>
            </w:r>
            <w:proofErr w:type="spell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Divided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Co-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ownership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prescribed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text</w:t>
            </w:r>
            <w:proofErr w:type="spellEnd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81C5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books</w:t>
            </w:r>
            <w:proofErr w:type="spellEnd"/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460"/>
        <w:gridCol w:w="6363"/>
        <w:gridCol w:w="331"/>
        <w:gridCol w:w="331"/>
        <w:gridCol w:w="331"/>
        <w:gridCol w:w="331"/>
        <w:gridCol w:w="331"/>
        <w:gridCol w:w="222"/>
      </w:tblGrid>
      <w:tr w:rsidR="007241F1" w:rsidRPr="00872BC7" w:rsidTr="00C81C5C">
        <w:trPr>
          <w:trHeight w:val="525"/>
        </w:trPr>
        <w:tc>
          <w:tcPr>
            <w:tcW w:w="0" w:type="auto"/>
            <w:gridSpan w:val="8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81C5C">
        <w:trPr>
          <w:trHeight w:val="450"/>
        </w:trPr>
        <w:tc>
          <w:tcPr>
            <w:tcW w:w="0" w:type="auto"/>
            <w:vMerge w:val="restar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C81C5C">
        <w:tc>
          <w:tcPr>
            <w:tcW w:w="0" w:type="auto"/>
            <w:vMerge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1C5C" w:rsidRPr="00872BC7" w:rsidTr="00C81C5C">
        <w:trPr>
          <w:trHeight w:val="375"/>
        </w:trPr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81C5C" w:rsidRPr="00EE5895" w:rsidRDefault="00C81C5C" w:rsidP="00C81C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C81C5C" w:rsidRPr="00C51701" w:rsidRDefault="00C81C5C" w:rsidP="00C81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4,08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81C5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81C5C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C45AD"/>
  <w15:docId w15:val="{32775F40-2A70-4CC2-9B83-2EAA7B0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C81C5C"/>
  </w:style>
  <w:style w:type="table" w:styleId="TabloKlavuzuAk">
    <w:name w:val="Grid Table Light"/>
    <w:basedOn w:val="NormalTablo"/>
    <w:uiPriority w:val="40"/>
    <w:rsid w:val="00C81C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2017-06-11T17:24:00Z</dcterms:created>
  <dcterms:modified xsi:type="dcterms:W3CDTF">2017-06-11T17:24:00Z</dcterms:modified>
</cp:coreProperties>
</file>