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3D1F" w14:textId="77777777" w:rsidR="00823A4C" w:rsidRDefault="00823A4C" w:rsidP="009A5B0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04B1BC09" w14:textId="77777777" w:rsidR="00B15BC0" w:rsidRDefault="00823A4C" w:rsidP="009A5B0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23A4C">
        <w:rPr>
          <w:rFonts w:ascii="Times New Roman" w:hAnsi="Times New Roman" w:cs="Times New Roman"/>
          <w:b/>
          <w:sz w:val="24"/>
        </w:rPr>
        <w:t>CEZA HUKUKU OKUMALARI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A0E0D">
        <w:rPr>
          <w:rFonts w:ascii="Times New Roman" w:hAnsi="Times New Roman" w:cs="Times New Roman"/>
          <w:b/>
          <w:sz w:val="24"/>
        </w:rPr>
        <w:t xml:space="preserve">– II </w:t>
      </w:r>
      <w:r>
        <w:rPr>
          <w:rFonts w:ascii="Times New Roman" w:hAnsi="Times New Roman" w:cs="Times New Roman"/>
          <w:b/>
          <w:sz w:val="24"/>
        </w:rPr>
        <w:t>DUYURUSU</w:t>
      </w:r>
    </w:p>
    <w:p w14:paraId="31875CB8" w14:textId="77777777" w:rsidR="00823A4C" w:rsidRDefault="00823A4C" w:rsidP="009A5B0A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0FCC235" w14:textId="517988B1" w:rsidR="0003792A" w:rsidRDefault="00C50E3D" w:rsidP="009A5B0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Fakültemiz ceza ve ceza muhakemesi anabilim dalı araştırma görevlileri tarafından “Ceza Hukuku Okumaları” </w:t>
      </w:r>
      <w:r w:rsidR="009A5B0A">
        <w:rPr>
          <w:rFonts w:ascii="Times New Roman" w:hAnsi="Times New Roman" w:cs="Times New Roman"/>
          <w:sz w:val="24"/>
        </w:rPr>
        <w:t xml:space="preserve">etkinliği </w:t>
      </w:r>
      <w:r>
        <w:rPr>
          <w:rFonts w:ascii="Times New Roman" w:hAnsi="Times New Roman" w:cs="Times New Roman"/>
          <w:sz w:val="24"/>
        </w:rPr>
        <w:t xml:space="preserve">düzenlenecektir. </w:t>
      </w:r>
      <w:r w:rsidR="009A5B0A" w:rsidRPr="00757FF1">
        <w:rPr>
          <w:rFonts w:ascii="Times New Roman" w:hAnsi="Times New Roman" w:cs="Times New Roman"/>
          <w:b/>
          <w:sz w:val="24"/>
          <w:u w:val="single"/>
        </w:rPr>
        <w:t xml:space="preserve">Etkinliğimizin, ceza hukukuna dair fakültemizde verilen dersler ile bağlantısı </w:t>
      </w:r>
      <w:r w:rsidR="00D92B4C" w:rsidRPr="00757FF1">
        <w:rPr>
          <w:rFonts w:ascii="Times New Roman" w:hAnsi="Times New Roman" w:cs="Times New Roman"/>
          <w:b/>
          <w:sz w:val="24"/>
          <w:u w:val="single"/>
        </w:rPr>
        <w:t>bulunmamaktadır, derslere yardımcı değildir ve derste işlenen konuların tekrarı söz konusu değildir.</w:t>
      </w:r>
      <w:r w:rsidR="009A5B0A">
        <w:rPr>
          <w:rFonts w:ascii="Times New Roman" w:hAnsi="Times New Roman" w:cs="Times New Roman"/>
          <w:sz w:val="24"/>
        </w:rPr>
        <w:t xml:space="preserve"> Etkinliğimizin amacı, ceza hukukuna ilgi duyan öğrencilerimize, fakültemizin ceza hukuku asistanlarının yol göstericiliğinde, ceza hukukuna dair yeni ufukl</w:t>
      </w:r>
      <w:r w:rsidR="00450210">
        <w:rPr>
          <w:rFonts w:ascii="Times New Roman" w:hAnsi="Times New Roman" w:cs="Times New Roman"/>
          <w:sz w:val="24"/>
        </w:rPr>
        <w:t>ar kazandırmak ve öğrencilerimizin</w:t>
      </w:r>
      <w:r w:rsidR="009A5B0A">
        <w:rPr>
          <w:rFonts w:ascii="Times New Roman" w:hAnsi="Times New Roman" w:cs="Times New Roman"/>
          <w:sz w:val="24"/>
        </w:rPr>
        <w:t xml:space="preserve"> güncel ve ilgi çekici tartışmalardan – sorunlardan haberdar olmalarını sağlamaktır. Etkinliğimize dair bilgiler aşağıda yer almaktadır. Et</w:t>
      </w:r>
      <w:r w:rsidR="005127EF">
        <w:rPr>
          <w:rFonts w:ascii="Times New Roman" w:hAnsi="Times New Roman" w:cs="Times New Roman"/>
          <w:sz w:val="24"/>
        </w:rPr>
        <w:t xml:space="preserve">kinliğe katılım şartlarına uyan ve katılmak isteyen öğrencilerimizin aşağıdaki </w:t>
      </w:r>
      <w:r w:rsidR="002F53D0">
        <w:rPr>
          <w:rFonts w:ascii="Times New Roman" w:hAnsi="Times New Roman" w:cs="Times New Roman"/>
          <w:b/>
          <w:sz w:val="24"/>
        </w:rPr>
        <w:t>e-posta</w:t>
      </w:r>
      <w:r w:rsidR="005127EF" w:rsidRPr="00757FF1">
        <w:rPr>
          <w:rFonts w:ascii="Times New Roman" w:hAnsi="Times New Roman" w:cs="Times New Roman"/>
          <w:b/>
          <w:sz w:val="24"/>
        </w:rPr>
        <w:t xml:space="preserve"> ad</w:t>
      </w:r>
      <w:r w:rsidR="00C778BE">
        <w:rPr>
          <w:rFonts w:ascii="Times New Roman" w:hAnsi="Times New Roman" w:cs="Times New Roman"/>
          <w:b/>
          <w:sz w:val="24"/>
        </w:rPr>
        <w:t>resine</w:t>
      </w:r>
      <w:r w:rsidR="005127EF">
        <w:rPr>
          <w:rFonts w:ascii="Times New Roman" w:hAnsi="Times New Roman" w:cs="Times New Roman"/>
          <w:sz w:val="24"/>
        </w:rPr>
        <w:t xml:space="preserve"> </w:t>
      </w:r>
      <w:r w:rsidR="002F53D0">
        <w:rPr>
          <w:rFonts w:ascii="Times New Roman" w:hAnsi="Times New Roman" w:cs="Times New Roman"/>
          <w:sz w:val="24"/>
        </w:rPr>
        <w:t>e-posta</w:t>
      </w:r>
      <w:r w:rsidR="005127EF">
        <w:rPr>
          <w:rFonts w:ascii="Times New Roman" w:hAnsi="Times New Roman" w:cs="Times New Roman"/>
          <w:sz w:val="24"/>
        </w:rPr>
        <w:t xml:space="preserve"> atmaları gerekmektedir.</w:t>
      </w:r>
      <w:r w:rsidR="005501F2">
        <w:rPr>
          <w:rFonts w:ascii="Times New Roman" w:hAnsi="Times New Roman" w:cs="Times New Roman"/>
          <w:sz w:val="24"/>
        </w:rPr>
        <w:t xml:space="preserve"> </w:t>
      </w:r>
      <w:r w:rsidR="00337C23">
        <w:rPr>
          <w:rFonts w:ascii="Times New Roman" w:hAnsi="Times New Roman" w:cs="Times New Roman"/>
          <w:sz w:val="24"/>
        </w:rPr>
        <w:t>E - posta</w:t>
      </w:r>
      <w:r w:rsidR="005501F2">
        <w:rPr>
          <w:rFonts w:ascii="Times New Roman" w:hAnsi="Times New Roman" w:cs="Times New Roman"/>
          <w:sz w:val="24"/>
        </w:rPr>
        <w:t xml:space="preserve"> ekinde, </w:t>
      </w:r>
      <w:r w:rsidR="00D92B4C">
        <w:rPr>
          <w:rFonts w:ascii="Times New Roman" w:hAnsi="Times New Roman" w:cs="Times New Roman"/>
          <w:sz w:val="24"/>
        </w:rPr>
        <w:t>c</w:t>
      </w:r>
      <w:r w:rsidR="00D92B4C" w:rsidRPr="00D92B4C">
        <w:rPr>
          <w:rFonts w:ascii="Times New Roman" w:hAnsi="Times New Roman" w:cs="Times New Roman"/>
          <w:sz w:val="24"/>
        </w:rPr>
        <w:t>eza hukuku genel hükümler (I – II), ceza hukuku özel hükümler (I – II), ceza muhakemesi hukuku (I – II)</w:t>
      </w:r>
      <w:r w:rsidR="00D92B4C">
        <w:rPr>
          <w:rFonts w:ascii="Times New Roman" w:hAnsi="Times New Roman" w:cs="Times New Roman"/>
          <w:sz w:val="24"/>
        </w:rPr>
        <w:t xml:space="preserve"> derslerin</w:t>
      </w:r>
      <w:r w:rsidR="00BB0B2A">
        <w:rPr>
          <w:rFonts w:ascii="Times New Roman" w:hAnsi="Times New Roman" w:cs="Times New Roman"/>
          <w:sz w:val="24"/>
        </w:rPr>
        <w:t>den alınan ve başarılı olan derslerin</w:t>
      </w:r>
      <w:r w:rsidR="00D92B4C">
        <w:rPr>
          <w:rFonts w:ascii="Times New Roman" w:hAnsi="Times New Roman" w:cs="Times New Roman"/>
          <w:sz w:val="24"/>
        </w:rPr>
        <w:t xml:space="preserve"> hangi dönem hangi harf notuyla geçildiği, neden bu etkinliğe katılmak istendiği ve ceza hukuka dair ilgi</w:t>
      </w:r>
      <w:r w:rsidR="00C778BE">
        <w:rPr>
          <w:rFonts w:ascii="Times New Roman" w:hAnsi="Times New Roman" w:cs="Times New Roman"/>
          <w:sz w:val="24"/>
        </w:rPr>
        <w:t>,</w:t>
      </w:r>
      <w:r w:rsidR="00D92B4C">
        <w:rPr>
          <w:rFonts w:ascii="Times New Roman" w:hAnsi="Times New Roman" w:cs="Times New Roman"/>
          <w:sz w:val="24"/>
        </w:rPr>
        <w:t xml:space="preserve"> 1 </w:t>
      </w:r>
      <w:r w:rsidR="00C778BE">
        <w:rPr>
          <w:rFonts w:ascii="Times New Roman" w:hAnsi="Times New Roman" w:cs="Times New Roman"/>
          <w:sz w:val="24"/>
        </w:rPr>
        <w:t>paragrafı</w:t>
      </w:r>
      <w:r w:rsidR="00D92B4C">
        <w:rPr>
          <w:rFonts w:ascii="Times New Roman" w:hAnsi="Times New Roman" w:cs="Times New Roman"/>
          <w:sz w:val="24"/>
        </w:rPr>
        <w:t xml:space="preserve"> geçmeyecek şekilde özlü bir biçimde açıklanmalıdır.</w:t>
      </w:r>
    </w:p>
    <w:p w14:paraId="6BB32A0B" w14:textId="77777777" w:rsidR="0003792A" w:rsidRPr="00985CD8" w:rsidRDefault="00000000" w:rsidP="009A5B0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hyperlink r:id="rId8" w:history="1">
        <w:r w:rsidR="00985CD8" w:rsidRPr="0057034B">
          <w:rPr>
            <w:rStyle w:val="Kpr"/>
            <w:rFonts w:ascii="Times New Roman" w:hAnsi="Times New Roman" w:cs="Times New Roman"/>
            <w:sz w:val="24"/>
          </w:rPr>
          <w:t>yeditepeceza@yeditepe.edu.tr</w:t>
        </w:r>
      </w:hyperlink>
      <w:r w:rsidR="00985CD8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340E5" w14:paraId="54510712" w14:textId="77777777" w:rsidTr="007340E5">
        <w:tc>
          <w:tcPr>
            <w:tcW w:w="3539" w:type="dxa"/>
          </w:tcPr>
          <w:p w14:paraId="5360CA14" w14:textId="77777777" w:rsidR="007340E5" w:rsidRDefault="007340E5" w:rsidP="009A5B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Düzenleyiciler</w:t>
            </w:r>
            <w:r w:rsidR="001E11E4">
              <w:rPr>
                <w:rFonts w:ascii="Times New Roman" w:hAnsi="Times New Roman" w:cs="Times New Roman"/>
                <w:b/>
                <w:sz w:val="24"/>
              </w:rPr>
              <w:t xml:space="preserve"> ve Yürütücüler</w:t>
            </w:r>
          </w:p>
        </w:tc>
        <w:tc>
          <w:tcPr>
            <w:tcW w:w="5523" w:type="dxa"/>
          </w:tcPr>
          <w:p w14:paraId="43353243" w14:textId="77777777" w:rsidR="007340E5" w:rsidRDefault="007340E5" w:rsidP="009A5B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Arş. Gör Erdi Yetkin  </w:t>
            </w:r>
          </w:p>
          <w:p w14:paraId="6AD61BBD" w14:textId="77777777" w:rsidR="007340E5" w:rsidRDefault="007340E5" w:rsidP="009A5B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Arş. Gör. Eşref Barış Börekçi  </w:t>
            </w:r>
          </w:p>
          <w:p w14:paraId="32F314FA" w14:textId="77777777" w:rsidR="007340E5" w:rsidRDefault="007340E5" w:rsidP="009A5B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Lis. Burs. Saba Şahika Tahmaz Üzeltürk </w:t>
            </w:r>
          </w:p>
          <w:p w14:paraId="32788347" w14:textId="77777777" w:rsidR="007340E5" w:rsidRDefault="007340E5" w:rsidP="009A5B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1E4" w14:paraId="6F6498C9" w14:textId="77777777" w:rsidTr="007340E5">
        <w:tc>
          <w:tcPr>
            <w:tcW w:w="3539" w:type="dxa"/>
          </w:tcPr>
          <w:p w14:paraId="438913EE" w14:textId="77777777" w:rsidR="001E11E4" w:rsidRDefault="001E11E4" w:rsidP="009A5B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Katılım Şartları</w:t>
            </w:r>
          </w:p>
        </w:tc>
        <w:tc>
          <w:tcPr>
            <w:tcW w:w="5523" w:type="dxa"/>
          </w:tcPr>
          <w:p w14:paraId="7CCE7BDB" w14:textId="77777777" w:rsidR="001E11E4" w:rsidRDefault="009A351A" w:rsidP="009A5B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A351A">
              <w:rPr>
                <w:rFonts w:ascii="Times New Roman" w:hAnsi="Times New Roman" w:cs="Times New Roman"/>
                <w:b/>
                <w:sz w:val="24"/>
                <w:u w:val="single"/>
              </w:rPr>
              <w:t>İkinci sınıf ikinci dönem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ve üstü</w:t>
            </w:r>
            <w:r w:rsidR="001E11E4" w:rsidRPr="009A351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Yeditepe Üniversitesi Hukuk Fakültesi öğrencileri.</w:t>
            </w:r>
            <w:r w:rsidR="001E11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1C46">
              <w:rPr>
                <w:rFonts w:ascii="Times New Roman" w:hAnsi="Times New Roman" w:cs="Times New Roman"/>
                <w:sz w:val="24"/>
              </w:rPr>
              <w:t>Başvuran öğrenciler düzenleyiciler tarafından aşağıdaki kıstaslara göre değerlendirilir:</w:t>
            </w:r>
          </w:p>
          <w:p w14:paraId="18727E11" w14:textId="77777777" w:rsidR="00C51C46" w:rsidRDefault="00C51C46" w:rsidP="009A5B0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Ceza hukukuna dair alınan dersler ve başarı durumu</w:t>
            </w:r>
          </w:p>
          <w:p w14:paraId="7B5B0F3D" w14:textId="77777777" w:rsidR="00C51C46" w:rsidRPr="00C51C46" w:rsidRDefault="002F53D0" w:rsidP="009A5B0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</w:t>
            </w:r>
            <w:r w:rsidR="00D92B4C">
              <w:rPr>
                <w:rFonts w:ascii="Times New Roman" w:hAnsi="Times New Roman" w:cs="Times New Roman"/>
                <w:sz w:val="24"/>
              </w:rPr>
              <w:t xml:space="preserve"> ekindeki yazı uyarınca tespit edilecek i</w:t>
            </w:r>
            <w:r w:rsidR="00C51C46">
              <w:rPr>
                <w:rFonts w:ascii="Times New Roman" w:hAnsi="Times New Roman" w:cs="Times New Roman"/>
                <w:sz w:val="24"/>
              </w:rPr>
              <w:t xml:space="preserve">steklilik </w:t>
            </w:r>
          </w:p>
        </w:tc>
      </w:tr>
      <w:tr w:rsidR="007340E5" w14:paraId="4CBA0459" w14:textId="77777777" w:rsidTr="007340E5">
        <w:tc>
          <w:tcPr>
            <w:tcW w:w="3539" w:type="dxa"/>
          </w:tcPr>
          <w:p w14:paraId="01463A27" w14:textId="77777777" w:rsidR="007340E5" w:rsidRDefault="007340E5" w:rsidP="009A5B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Yer ve Zaman Bilgisi</w:t>
            </w:r>
          </w:p>
        </w:tc>
        <w:tc>
          <w:tcPr>
            <w:tcW w:w="5523" w:type="dxa"/>
          </w:tcPr>
          <w:p w14:paraId="7E31A9A1" w14:textId="77777777" w:rsidR="007340E5" w:rsidRDefault="00AB6074" w:rsidP="009A5B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</w:t>
            </w:r>
            <w:r w:rsidR="00BA0E0D">
              <w:rPr>
                <w:rFonts w:ascii="Times New Roman" w:hAnsi="Times New Roman" w:cs="Times New Roman"/>
                <w:sz w:val="24"/>
              </w:rPr>
              <w:t xml:space="preserve">lantıların kural olarak </w:t>
            </w:r>
            <w:r w:rsidR="00BA0E0D" w:rsidRPr="00BA0E0D">
              <w:rPr>
                <w:rFonts w:ascii="Times New Roman" w:hAnsi="Times New Roman" w:cs="Times New Roman"/>
                <w:b/>
                <w:sz w:val="24"/>
              </w:rPr>
              <w:t>online</w:t>
            </w:r>
            <w:r w:rsidR="00BA0E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40E5">
              <w:rPr>
                <w:rFonts w:ascii="Times New Roman" w:hAnsi="Times New Roman" w:cs="Times New Roman"/>
                <w:sz w:val="24"/>
              </w:rPr>
              <w:t xml:space="preserve">yapılması planlanmaktadır. </w:t>
            </w:r>
            <w:r w:rsidR="00BA0E0D">
              <w:rPr>
                <w:rFonts w:ascii="Times New Roman" w:hAnsi="Times New Roman" w:cs="Times New Roman"/>
                <w:sz w:val="24"/>
              </w:rPr>
              <w:t>Düzenleyicilerle katılımcıların ortak kararı ile kimi oturumların yüz yüze ve online yapılmasına karar verilebilir.</w:t>
            </w:r>
          </w:p>
          <w:p w14:paraId="52457FEC" w14:textId="7AA8384C" w:rsidR="007340E5" w:rsidRPr="002F53D0" w:rsidRDefault="00BA0E0D" w:rsidP="009A5B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2022</w:t>
            </w:r>
            <w:r w:rsidR="00807606">
              <w:rPr>
                <w:rFonts w:ascii="Times New Roman" w:hAnsi="Times New Roman" w:cs="Times New Roman"/>
                <w:b/>
                <w:sz w:val="24"/>
              </w:rPr>
              <w:t xml:space="preserve"> Güz Dönemi, s</w:t>
            </w:r>
            <w:r w:rsidR="007340E5" w:rsidRPr="002F53D0">
              <w:rPr>
                <w:rFonts w:ascii="Times New Roman" w:hAnsi="Times New Roman" w:cs="Times New Roman"/>
                <w:b/>
                <w:sz w:val="24"/>
              </w:rPr>
              <w:t xml:space="preserve">alı günleri, 17:00 – </w:t>
            </w:r>
            <w:r w:rsidR="00C778BE"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7340E5" w:rsidRPr="002F53D0">
              <w:rPr>
                <w:rFonts w:ascii="Times New Roman" w:hAnsi="Times New Roman" w:cs="Times New Roman"/>
                <w:b/>
                <w:sz w:val="24"/>
              </w:rPr>
              <w:t xml:space="preserve">:00. </w:t>
            </w:r>
          </w:p>
          <w:p w14:paraId="4F495E78" w14:textId="411FB6EB" w:rsidR="00C778BE" w:rsidRDefault="007340E5" w:rsidP="009A5B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Okuma etkinliği kapsamında </w:t>
            </w:r>
            <w:r w:rsidRPr="002F53D0">
              <w:rPr>
                <w:rFonts w:ascii="Times New Roman" w:hAnsi="Times New Roman" w:cs="Times New Roman"/>
                <w:b/>
                <w:sz w:val="24"/>
              </w:rPr>
              <w:t>6 toplantı</w:t>
            </w:r>
            <w:r>
              <w:rPr>
                <w:rFonts w:ascii="Times New Roman" w:hAnsi="Times New Roman" w:cs="Times New Roman"/>
                <w:sz w:val="24"/>
              </w:rPr>
              <w:t xml:space="preserve"> düzenlenecektir. Toplantı tarihleri, katılımcılara bildirilecektir. </w:t>
            </w:r>
          </w:p>
        </w:tc>
      </w:tr>
      <w:tr w:rsidR="007340E5" w14:paraId="1B3424E6" w14:textId="77777777" w:rsidTr="007340E5">
        <w:tc>
          <w:tcPr>
            <w:tcW w:w="3539" w:type="dxa"/>
          </w:tcPr>
          <w:p w14:paraId="1745B39C" w14:textId="39F85977" w:rsidR="007340E5" w:rsidRPr="007340E5" w:rsidRDefault="007340E5" w:rsidP="009A5B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40E5">
              <w:rPr>
                <w:rFonts w:ascii="Times New Roman" w:hAnsi="Times New Roman" w:cs="Times New Roman"/>
                <w:b/>
                <w:sz w:val="24"/>
              </w:rPr>
              <w:t>İçerik</w:t>
            </w:r>
          </w:p>
        </w:tc>
        <w:tc>
          <w:tcPr>
            <w:tcW w:w="5523" w:type="dxa"/>
          </w:tcPr>
          <w:p w14:paraId="68082303" w14:textId="5A042A6D" w:rsidR="007340E5" w:rsidRDefault="001E11E4" w:rsidP="002F53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53D0">
              <w:rPr>
                <w:rFonts w:ascii="Times New Roman" w:hAnsi="Times New Roman" w:cs="Times New Roman"/>
                <w:b/>
                <w:sz w:val="24"/>
              </w:rPr>
              <w:t>Toplantı içeriği, her bir toplantı özelinde, toplantı yürütücüsü tarafından belirlenip katılımcılara bildirilecektir.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1847">
              <w:rPr>
                <w:rFonts w:ascii="Times New Roman" w:hAnsi="Times New Roman" w:cs="Times New Roman"/>
                <w:sz w:val="24"/>
              </w:rPr>
              <w:t xml:space="preserve">Toplantılarda tartışılacak içerikler, makale, kitap, kitap bölümü gibi akademik metinler ya </w:t>
            </w:r>
            <w:r w:rsidR="00751847">
              <w:rPr>
                <w:rFonts w:ascii="Times New Roman" w:hAnsi="Times New Roman" w:cs="Times New Roman"/>
                <w:sz w:val="24"/>
              </w:rPr>
              <w:lastRenderedPageBreak/>
              <w:t xml:space="preserve">da ceza hukuku ile ilgisi bağlamında edebi – sanatsal eserler olabilir. </w:t>
            </w:r>
            <w:r w:rsidR="00751847" w:rsidRPr="002F53D0">
              <w:rPr>
                <w:rFonts w:ascii="Times New Roman" w:hAnsi="Times New Roman" w:cs="Times New Roman"/>
                <w:b/>
                <w:sz w:val="24"/>
              </w:rPr>
              <w:t>Toplantılarda tartışılacak içerikler</w:t>
            </w:r>
            <w:r w:rsidR="002F53D0" w:rsidRPr="002F53D0">
              <w:rPr>
                <w:rFonts w:ascii="Times New Roman" w:hAnsi="Times New Roman" w:cs="Times New Roman"/>
                <w:b/>
                <w:sz w:val="24"/>
              </w:rPr>
              <w:t>, toplantı yürütücüsünün tercihine göre,</w:t>
            </w:r>
            <w:r w:rsidR="00751847" w:rsidRPr="002F53D0">
              <w:rPr>
                <w:rFonts w:ascii="Times New Roman" w:hAnsi="Times New Roman" w:cs="Times New Roman"/>
                <w:b/>
                <w:sz w:val="24"/>
              </w:rPr>
              <w:t xml:space="preserve"> Türkçe ya da İngilizce yazılmış eserler </w:t>
            </w:r>
            <w:r w:rsidR="002F53D0" w:rsidRPr="002F53D0">
              <w:rPr>
                <w:rFonts w:ascii="Times New Roman" w:hAnsi="Times New Roman" w:cs="Times New Roman"/>
                <w:b/>
                <w:sz w:val="24"/>
              </w:rPr>
              <w:t>olabilir</w:t>
            </w:r>
            <w:r w:rsidR="00751847" w:rsidRPr="002F53D0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BA0E0D">
              <w:rPr>
                <w:rFonts w:ascii="Times New Roman" w:hAnsi="Times New Roman" w:cs="Times New Roman"/>
                <w:b/>
                <w:sz w:val="24"/>
              </w:rPr>
              <w:t xml:space="preserve">Toplantı konusunun içeriğine göre ilgili kaynaklar, film, belgesel, dizi, podcast gibi içerikler de olabilir. </w:t>
            </w:r>
            <w:r w:rsidR="00751847" w:rsidRPr="002F53D0">
              <w:rPr>
                <w:rFonts w:ascii="Times New Roman" w:hAnsi="Times New Roman" w:cs="Times New Roman"/>
                <w:b/>
                <w:sz w:val="24"/>
              </w:rPr>
              <w:t xml:space="preserve">Toplantının tartışma dili </w:t>
            </w:r>
            <w:r w:rsidR="009A5B0A" w:rsidRPr="002F53D0">
              <w:rPr>
                <w:rFonts w:ascii="Times New Roman" w:hAnsi="Times New Roman" w:cs="Times New Roman"/>
                <w:b/>
                <w:sz w:val="24"/>
              </w:rPr>
              <w:t>Türkçedir.</w:t>
            </w:r>
          </w:p>
        </w:tc>
      </w:tr>
      <w:tr w:rsidR="007340E5" w14:paraId="11971878" w14:textId="77777777" w:rsidTr="007340E5">
        <w:tc>
          <w:tcPr>
            <w:tcW w:w="3539" w:type="dxa"/>
          </w:tcPr>
          <w:p w14:paraId="3A785A3B" w14:textId="77777777" w:rsidR="007340E5" w:rsidRPr="001E11E4" w:rsidRDefault="001E11E4" w:rsidP="009A5B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E11E4">
              <w:rPr>
                <w:rFonts w:ascii="Times New Roman" w:hAnsi="Times New Roman" w:cs="Times New Roman"/>
                <w:b/>
                <w:sz w:val="24"/>
              </w:rPr>
              <w:lastRenderedPageBreak/>
              <w:t>Etkinliğin Yürütülüş Kuralları</w:t>
            </w:r>
          </w:p>
        </w:tc>
        <w:tc>
          <w:tcPr>
            <w:tcW w:w="5523" w:type="dxa"/>
          </w:tcPr>
          <w:p w14:paraId="362A58A2" w14:textId="77777777" w:rsidR="001E11E4" w:rsidRDefault="001E11E4" w:rsidP="009A5B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11E4">
              <w:rPr>
                <w:rFonts w:ascii="Times New Roman" w:hAnsi="Times New Roman" w:cs="Times New Roman"/>
                <w:sz w:val="24"/>
              </w:rPr>
              <w:t>Toplantı</w:t>
            </w:r>
            <w:r>
              <w:rPr>
                <w:rFonts w:ascii="Times New Roman" w:hAnsi="Times New Roman" w:cs="Times New Roman"/>
                <w:sz w:val="24"/>
              </w:rPr>
              <w:t>nın yürütülüş kuralları</w:t>
            </w:r>
            <w:r w:rsidRPr="001E11E4">
              <w:rPr>
                <w:rFonts w:ascii="Times New Roman" w:hAnsi="Times New Roman" w:cs="Times New Roman"/>
                <w:sz w:val="24"/>
              </w:rPr>
              <w:t xml:space="preserve">, her bir toplantı özelinde, toplantı yürütücüsü tarafından belirlenip katılımcılara bildirilecektir. </w:t>
            </w:r>
            <w:r w:rsidRPr="00BE207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Katılımcılar, yürütücüler tarafından önerilmiş kaynakları okuyarak </w:t>
            </w:r>
            <w:r w:rsidR="00BA0E0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ya da görsel kaynakları izleyerek veya işitsel kaynakları dinleyerek </w:t>
            </w:r>
            <w:r w:rsidRPr="00BE2073">
              <w:rPr>
                <w:rFonts w:ascii="Times New Roman" w:hAnsi="Times New Roman" w:cs="Times New Roman"/>
                <w:b/>
                <w:sz w:val="24"/>
                <w:u w:val="single"/>
              </w:rPr>
              <w:t>etkinliğe katılmalıdırlar. Katılımcıların her bir toplantıya katılmaları gerekmektedir. Katılımcılar, etkinliğe misafir davet edemezler. Katılımcılar dışında etkinliğe, yürütücülerin misafirleri hariç, kimse katılamaz.</w:t>
            </w:r>
            <w:r>
              <w:rPr>
                <w:rFonts w:ascii="Times New Roman" w:hAnsi="Times New Roman" w:cs="Times New Roman"/>
                <w:sz w:val="24"/>
              </w:rPr>
              <w:t xml:space="preserve"> Toplantıyı, ilgili yürütücü idare eder ve söz dağılımı ile okuma ve tartışma bakımlarından yürütücülerin belirteceği kurallara uyulması gerekmektedir. </w:t>
            </w:r>
            <w:r w:rsidRPr="00BE2073">
              <w:rPr>
                <w:rFonts w:ascii="Times New Roman" w:hAnsi="Times New Roman" w:cs="Times New Roman"/>
                <w:b/>
                <w:sz w:val="24"/>
                <w:u w:val="single"/>
              </w:rPr>
              <w:t>Katılım sağlamayan, toplantılara ilgili materyalleri okumadan katılan, kurallara uymayan katılımcılar</w:t>
            </w:r>
            <w:r w:rsidR="00BA0E0D">
              <w:rPr>
                <w:rFonts w:ascii="Times New Roman" w:hAnsi="Times New Roman" w:cs="Times New Roman"/>
                <w:b/>
                <w:sz w:val="24"/>
                <w:u w:val="single"/>
              </w:rPr>
              <w:t>,</w:t>
            </w:r>
            <w:r w:rsidRPr="00BE207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etkinliğin sonraki toplantılarına kabul edilmeyecektir.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6C92705C" w14:textId="77777777" w:rsidR="007340E5" w:rsidRPr="00823A4C" w:rsidRDefault="007340E5" w:rsidP="009A5B0A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7340E5" w:rsidRPr="00823A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FE95" w14:textId="77777777" w:rsidR="002F3864" w:rsidRDefault="002F3864" w:rsidP="00CB1F81">
      <w:pPr>
        <w:spacing w:after="0" w:line="240" w:lineRule="auto"/>
      </w:pPr>
      <w:r>
        <w:separator/>
      </w:r>
    </w:p>
  </w:endnote>
  <w:endnote w:type="continuationSeparator" w:id="0">
    <w:p w14:paraId="56906149" w14:textId="77777777" w:rsidR="002F3864" w:rsidRDefault="002F3864" w:rsidP="00CB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7939299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A9BD43" w14:textId="77777777" w:rsidR="00CB1F81" w:rsidRPr="00CB1F81" w:rsidRDefault="00CB1F81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B1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CB1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A0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CB1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B1F8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B1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B1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CB1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A0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CB1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CE8F94" w14:textId="77777777" w:rsidR="00CB1F81" w:rsidRDefault="00CB1F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57AC" w14:textId="77777777" w:rsidR="002F3864" w:rsidRDefault="002F3864" w:rsidP="00CB1F81">
      <w:pPr>
        <w:spacing w:after="0" w:line="240" w:lineRule="auto"/>
      </w:pPr>
      <w:r>
        <w:separator/>
      </w:r>
    </w:p>
  </w:footnote>
  <w:footnote w:type="continuationSeparator" w:id="0">
    <w:p w14:paraId="5958D823" w14:textId="77777777" w:rsidR="002F3864" w:rsidRDefault="002F3864" w:rsidP="00CB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F70F5"/>
    <w:multiLevelType w:val="hybridMultilevel"/>
    <w:tmpl w:val="8D6295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EE"/>
    <w:rsid w:val="000363EE"/>
    <w:rsid w:val="0003792A"/>
    <w:rsid w:val="00044796"/>
    <w:rsid w:val="000A2C39"/>
    <w:rsid w:val="000E4065"/>
    <w:rsid w:val="00155DA0"/>
    <w:rsid w:val="001E11E4"/>
    <w:rsid w:val="002B3169"/>
    <w:rsid w:val="002F3864"/>
    <w:rsid w:val="002F53D0"/>
    <w:rsid w:val="00337C23"/>
    <w:rsid w:val="003A0EB8"/>
    <w:rsid w:val="00450210"/>
    <w:rsid w:val="004E378A"/>
    <w:rsid w:val="005127EF"/>
    <w:rsid w:val="00514582"/>
    <w:rsid w:val="005501F2"/>
    <w:rsid w:val="005C6A0E"/>
    <w:rsid w:val="007340E5"/>
    <w:rsid w:val="00751847"/>
    <w:rsid w:val="00757FF1"/>
    <w:rsid w:val="00807606"/>
    <w:rsid w:val="00823A4C"/>
    <w:rsid w:val="008C1E7C"/>
    <w:rsid w:val="00985CD8"/>
    <w:rsid w:val="009A351A"/>
    <w:rsid w:val="009A5B0A"/>
    <w:rsid w:val="00A018D8"/>
    <w:rsid w:val="00AB6074"/>
    <w:rsid w:val="00AE149E"/>
    <w:rsid w:val="00B15BC0"/>
    <w:rsid w:val="00BA0E0D"/>
    <w:rsid w:val="00BB0B2A"/>
    <w:rsid w:val="00BE2073"/>
    <w:rsid w:val="00C50E3D"/>
    <w:rsid w:val="00C51C46"/>
    <w:rsid w:val="00C778BE"/>
    <w:rsid w:val="00CB1F81"/>
    <w:rsid w:val="00D6667A"/>
    <w:rsid w:val="00D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0A85"/>
  <w15:chartTrackingRefBased/>
  <w15:docId w15:val="{640B84B2-55FF-4141-866D-D4CCB8BF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1C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27E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B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1F81"/>
  </w:style>
  <w:style w:type="paragraph" w:styleId="AltBilgi">
    <w:name w:val="footer"/>
    <w:basedOn w:val="Normal"/>
    <w:link w:val="AltBilgiChar"/>
    <w:uiPriority w:val="99"/>
    <w:unhideWhenUsed/>
    <w:rsid w:val="00CB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ditepeceza@yeditepe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74FD-8346-4BC2-A804-7F46006B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 yetkin</dc:creator>
  <cp:keywords/>
  <dc:description/>
  <cp:lastModifiedBy>Barış Börekçi</cp:lastModifiedBy>
  <cp:revision>98</cp:revision>
  <cp:lastPrinted>2020-10-12T12:06:00Z</cp:lastPrinted>
  <dcterms:created xsi:type="dcterms:W3CDTF">2020-09-24T09:58:00Z</dcterms:created>
  <dcterms:modified xsi:type="dcterms:W3CDTF">2022-09-21T11:57:00Z</dcterms:modified>
</cp:coreProperties>
</file>