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63"/>
        <w:gridCol w:w="1332"/>
        <w:gridCol w:w="1484"/>
        <w:gridCol w:w="1473"/>
        <w:gridCol w:w="1139"/>
        <w:gridCol w:w="914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8735CE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8735CE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146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Bachelor's</w:t>
            </w:r>
            <w:proofErr w:type="spellEnd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(First </w:t>
            </w:r>
            <w:proofErr w:type="spellStart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</w:t>
            </w:r>
            <w:proofErr w:type="spellEnd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Programmes</w:t>
            </w:r>
            <w:proofErr w:type="spellEnd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Mandatory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Cihan Mengü Acun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 w:rsidRPr="008735C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Cihan Mengü Acun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8735C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English</w:t>
            </w:r>
          </w:p>
          <w:p w:rsidR="008735CE" w:rsidRDefault="008735C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  <w:p w:rsidR="008735CE" w:rsidRDefault="008735C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  <w:p w:rsidR="008735CE" w:rsidRDefault="008735C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much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formulate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section</w:t>
            </w:r>
            <w:proofErr w:type="spellEnd"/>
          </w:p>
          <w:p w:rsidR="008735CE" w:rsidRPr="00C51701" w:rsidRDefault="008735C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IRAC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8735CE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mainly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focuses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persuasive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brief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</w:p>
          <w:p w:rsidR="008735CE" w:rsidRPr="00C51701" w:rsidRDefault="008735CE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necessary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lawyers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5"/>
        <w:gridCol w:w="1667"/>
        <w:gridCol w:w="1153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Default="008735CE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English,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formulate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</w:p>
          <w:p w:rsidR="008735CE" w:rsidRDefault="008735CE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being</w:t>
            </w:r>
            <w:proofErr w:type="spellEnd"/>
          </w:p>
          <w:p w:rsidR="008735CE" w:rsidRPr="00C51701" w:rsidRDefault="008735CE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IRAC.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433"/>
        <w:gridCol w:w="172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Westlaw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issues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assignment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</w:p>
          <w:p w:rsidR="008735CE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pattern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persuasive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assignment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presented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relevant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735C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How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annotated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outline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annotated</w:t>
            </w:r>
            <w:proofErr w:type="spellEnd"/>
            <w:r w:rsidRP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outline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ED7B2D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purposes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</w:p>
          <w:p w:rsidR="00ED7B2D" w:rsidRPr="00C51701" w:rsidRDefault="00ED7B2D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How do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yu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achieve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your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issues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Connecting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pieces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brief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 oral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 oral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D7B2D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5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735C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Analysis,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Aspen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Publishers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INC; 2nd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2007)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Selected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readings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</w:t>
            </w:r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ion</w:t>
            </w:r>
            <w:proofErr w:type="spellEnd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="00ED7B2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59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D7B2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</w:tbl>
    <w:p w:rsidR="007241F1" w:rsidRDefault="007241F1">
      <w:bookmarkStart w:id="0" w:name="_GoBack"/>
      <w:bookmarkEnd w:id="0"/>
    </w:p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1"/>
    <w:rsid w:val="001D45F3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735CE"/>
    <w:rsid w:val="008A7CB8"/>
    <w:rsid w:val="008B5BE1"/>
    <w:rsid w:val="008F773C"/>
    <w:rsid w:val="009726E2"/>
    <w:rsid w:val="00C51701"/>
    <w:rsid w:val="00C92D50"/>
    <w:rsid w:val="00CA53DB"/>
    <w:rsid w:val="00D71981"/>
    <w:rsid w:val="00ED7B2D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</vt:lpstr>
    </vt:vector>
  </TitlesOfParts>
  <Company>University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creator>Merve Baykal</dc:creator>
  <cp:lastModifiedBy>Samsung-pc</cp:lastModifiedBy>
  <cp:revision>3</cp:revision>
  <dcterms:created xsi:type="dcterms:W3CDTF">2017-06-11T15:28:00Z</dcterms:created>
  <dcterms:modified xsi:type="dcterms:W3CDTF">2017-06-11T15:44:00Z</dcterms:modified>
</cp:coreProperties>
</file>