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32"/>
        <w:gridCol w:w="886"/>
        <w:gridCol w:w="982"/>
        <w:gridCol w:w="933"/>
        <w:gridCol w:w="756"/>
        <w:gridCol w:w="614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EE7ECA" w:rsidRPr="00872BC7" w:rsidTr="00D22124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3C6462" w:rsidRDefault="00EE7ECA" w:rsidP="00EE7ECA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Law of </w:t>
            </w:r>
            <w:proofErr w:type="spellStart"/>
            <w:r>
              <w:rPr>
                <w:color w:val="000000"/>
              </w:rPr>
              <w:t>Obligations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Specific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Types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Contracts</w:t>
            </w:r>
            <w:proofErr w:type="spellEnd"/>
            <w:r>
              <w:rPr>
                <w:color w:val="000000"/>
              </w:rPr>
              <w:t xml:space="preserve"> II)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3C6462" w:rsidRDefault="00EE7ECA" w:rsidP="00EE7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LAW 302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3C6462" w:rsidRDefault="00EE7ECA" w:rsidP="00EE7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3C6462" w:rsidRDefault="00EE7ECA" w:rsidP="00EE7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2+2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3C6462" w:rsidRDefault="00EE7ECA" w:rsidP="00EE7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3C6462" w:rsidRDefault="00EE7ECA" w:rsidP="00EE7ECA">
            <w:pPr>
              <w:jc w:val="center"/>
            </w:pPr>
            <w:r>
              <w:t>4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E7EC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E7EC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E7EC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E7EC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Assoc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Prof. Dr. Melek Bilgin Yüce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E7ECA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Assoc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Dr. Melek Bilgin Yüce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7ECA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Oğuz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Vuraloğlu</w:t>
            </w:r>
            <w:proofErr w:type="spellEnd"/>
          </w:p>
          <w:p w:rsidR="00EE7ECA" w:rsidRPr="00EE7ECA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Eda Erdem</w:t>
            </w:r>
          </w:p>
          <w:p w:rsidR="00EE7ECA" w:rsidRPr="00EE7ECA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Seda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Kökgör</w:t>
            </w:r>
            <w:proofErr w:type="spellEnd"/>
          </w:p>
          <w:p w:rsidR="007241F1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Aslı Börek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E7ECA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various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types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examined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The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formation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validity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specific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characteristics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these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analyzed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throughout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The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goal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present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important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Turkish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E7ECA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examine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various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types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EE7ECA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aim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provide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suggest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kind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Turkish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arising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types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EE7EC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1-11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79"/>
        <w:gridCol w:w="6309"/>
        <w:gridCol w:w="1612"/>
      </w:tblGrid>
      <w:tr w:rsidR="007241F1" w:rsidRPr="00872BC7" w:rsidTr="00EE7ECA">
        <w:trPr>
          <w:trHeight w:val="525"/>
        </w:trPr>
        <w:tc>
          <w:tcPr>
            <w:tcW w:w="0" w:type="auto"/>
            <w:gridSpan w:val="3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EE7ECA">
        <w:trPr>
          <w:trHeight w:val="450"/>
        </w:trPr>
        <w:tc>
          <w:tcPr>
            <w:tcW w:w="371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612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949" w:type="pct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EE7ECA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EE7ECA" w:rsidRPr="00EE7ECA" w:rsidRDefault="00EE7ECA" w:rsidP="00EE7ECA">
            <w:pPr>
              <w:rPr>
                <w:color w:val="000000"/>
              </w:rPr>
            </w:pPr>
            <w:proofErr w:type="spellStart"/>
            <w:r w:rsidRPr="00EE7ECA">
              <w:rPr>
                <w:color w:val="000000"/>
              </w:rPr>
              <w:t>Freelance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contract</w:t>
            </w:r>
            <w:proofErr w:type="spellEnd"/>
            <w:r w:rsidRPr="00EE7ECA">
              <w:rPr>
                <w:color w:val="000000"/>
              </w:rPr>
              <w:t xml:space="preserve"> (</w:t>
            </w:r>
            <w:proofErr w:type="spellStart"/>
            <w:r w:rsidRPr="00EE7ECA">
              <w:rPr>
                <w:color w:val="000000"/>
              </w:rPr>
              <w:t>definition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and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factors</w:t>
            </w:r>
            <w:proofErr w:type="spellEnd"/>
            <w:r w:rsidRPr="00EE7ECA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EE7ECA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EE7ECA" w:rsidRPr="00EE7ECA" w:rsidRDefault="00EE7ECA" w:rsidP="00EE7ECA">
            <w:pPr>
              <w:rPr>
                <w:bCs/>
                <w:color w:val="000000"/>
              </w:rPr>
            </w:pPr>
            <w:proofErr w:type="spellStart"/>
            <w:r w:rsidRPr="00EE7ECA">
              <w:rPr>
                <w:color w:val="000000"/>
              </w:rPr>
              <w:t>Freelance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contract</w:t>
            </w:r>
            <w:proofErr w:type="spellEnd"/>
            <w:r w:rsidRPr="00EE7ECA">
              <w:rPr>
                <w:color w:val="000000"/>
              </w:rPr>
              <w:t xml:space="preserve"> ( </w:t>
            </w:r>
            <w:proofErr w:type="spellStart"/>
            <w:r w:rsidRPr="00EE7ECA">
              <w:rPr>
                <w:color w:val="000000"/>
              </w:rPr>
              <w:t>rights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and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obligations</w:t>
            </w:r>
            <w:proofErr w:type="spellEnd"/>
            <w:r w:rsidRPr="00EE7ECA">
              <w:rPr>
                <w:color w:val="000000"/>
              </w:rPr>
              <w:t xml:space="preserve"> of </w:t>
            </w:r>
            <w:proofErr w:type="spellStart"/>
            <w:r w:rsidRPr="00EE7ECA">
              <w:rPr>
                <w:color w:val="000000"/>
              </w:rPr>
              <w:t>contractor</w:t>
            </w:r>
            <w:proofErr w:type="spellEnd"/>
            <w:r w:rsidRPr="00EE7ECA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EE7ECA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EE7ECA" w:rsidRPr="00EE7ECA" w:rsidRDefault="00EE7ECA" w:rsidP="00EE7ECA">
            <w:pPr>
              <w:rPr>
                <w:bCs/>
                <w:color w:val="000000"/>
              </w:rPr>
            </w:pPr>
            <w:proofErr w:type="spellStart"/>
            <w:r w:rsidRPr="00EE7ECA">
              <w:rPr>
                <w:color w:val="000000"/>
              </w:rPr>
              <w:t>Freelance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contract</w:t>
            </w:r>
            <w:proofErr w:type="spellEnd"/>
            <w:r w:rsidRPr="00EE7ECA">
              <w:rPr>
                <w:color w:val="000000"/>
              </w:rPr>
              <w:t xml:space="preserve"> ( </w:t>
            </w:r>
            <w:proofErr w:type="spellStart"/>
            <w:r w:rsidRPr="00EE7ECA">
              <w:rPr>
                <w:color w:val="000000"/>
              </w:rPr>
              <w:t>rights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and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obligations</w:t>
            </w:r>
            <w:proofErr w:type="spellEnd"/>
            <w:r w:rsidRPr="00EE7ECA">
              <w:rPr>
                <w:color w:val="000000"/>
              </w:rPr>
              <w:t xml:space="preserve"> of </w:t>
            </w:r>
            <w:proofErr w:type="spellStart"/>
            <w:r w:rsidRPr="00EE7ECA">
              <w:rPr>
                <w:color w:val="000000"/>
              </w:rPr>
              <w:t>contractor</w:t>
            </w:r>
            <w:proofErr w:type="spellEnd"/>
            <w:r w:rsidRPr="00EE7ECA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EE7ECA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EE7ECA" w:rsidRPr="00EE7ECA" w:rsidRDefault="00EE7ECA" w:rsidP="00EE7ECA">
            <w:pPr>
              <w:rPr>
                <w:bCs/>
                <w:color w:val="000000"/>
              </w:rPr>
            </w:pPr>
            <w:proofErr w:type="spellStart"/>
            <w:r w:rsidRPr="00EE7ECA">
              <w:rPr>
                <w:color w:val="000000"/>
              </w:rPr>
              <w:t>Freelance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contract</w:t>
            </w:r>
            <w:proofErr w:type="spellEnd"/>
            <w:r w:rsidRPr="00EE7ECA">
              <w:rPr>
                <w:color w:val="000000"/>
              </w:rPr>
              <w:t xml:space="preserve"> ( </w:t>
            </w:r>
            <w:proofErr w:type="spellStart"/>
            <w:r w:rsidRPr="00EE7ECA">
              <w:rPr>
                <w:color w:val="000000"/>
              </w:rPr>
              <w:t>rights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and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obligations</w:t>
            </w:r>
            <w:proofErr w:type="spellEnd"/>
            <w:r w:rsidRPr="00EE7ECA">
              <w:rPr>
                <w:color w:val="000000"/>
              </w:rPr>
              <w:t xml:space="preserve"> of </w:t>
            </w:r>
            <w:proofErr w:type="spellStart"/>
            <w:r w:rsidRPr="00EE7ECA">
              <w:rPr>
                <w:color w:val="000000"/>
              </w:rPr>
              <w:t>contractor</w:t>
            </w:r>
            <w:proofErr w:type="spellEnd"/>
            <w:r w:rsidRPr="00EE7ECA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EE7ECA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EE7ECA" w:rsidRPr="00EE7ECA" w:rsidRDefault="00EE7ECA" w:rsidP="00EE7ECA">
            <w:pPr>
              <w:rPr>
                <w:bCs/>
                <w:color w:val="000000"/>
              </w:rPr>
            </w:pPr>
            <w:proofErr w:type="spellStart"/>
            <w:r w:rsidRPr="00EE7ECA">
              <w:rPr>
                <w:color w:val="000000"/>
              </w:rPr>
              <w:t>Freelance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contract</w:t>
            </w:r>
            <w:proofErr w:type="spellEnd"/>
            <w:r w:rsidRPr="00EE7ECA">
              <w:rPr>
                <w:color w:val="000000"/>
              </w:rPr>
              <w:t xml:space="preserve"> ( </w:t>
            </w:r>
            <w:proofErr w:type="spellStart"/>
            <w:r w:rsidRPr="00EE7ECA">
              <w:rPr>
                <w:color w:val="000000"/>
              </w:rPr>
              <w:t>rights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and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obligations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gramStart"/>
            <w:r w:rsidRPr="00EE7ECA">
              <w:rPr>
                <w:color w:val="000000"/>
              </w:rPr>
              <w:t xml:space="preserve">of  </w:t>
            </w:r>
            <w:proofErr w:type="spellStart"/>
            <w:r w:rsidRPr="00EE7ECA">
              <w:rPr>
                <w:color w:val="000000"/>
              </w:rPr>
              <w:t>principal</w:t>
            </w:r>
            <w:proofErr w:type="spellEnd"/>
            <w:proofErr w:type="gramEnd"/>
            <w:r w:rsidRPr="00EE7ECA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EE7ECA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EE7ECA" w:rsidRPr="00EE7ECA" w:rsidRDefault="00EE7ECA" w:rsidP="00EE7ECA">
            <w:pPr>
              <w:rPr>
                <w:bCs/>
                <w:color w:val="000000"/>
              </w:rPr>
            </w:pPr>
            <w:proofErr w:type="spellStart"/>
            <w:r w:rsidRPr="00EE7ECA">
              <w:rPr>
                <w:bCs/>
                <w:color w:val="000000"/>
              </w:rPr>
              <w:t>Freelance</w:t>
            </w:r>
            <w:proofErr w:type="spellEnd"/>
            <w:r w:rsidRPr="00EE7ECA">
              <w:rPr>
                <w:bCs/>
                <w:color w:val="000000"/>
              </w:rPr>
              <w:t xml:space="preserve"> </w:t>
            </w:r>
            <w:proofErr w:type="spellStart"/>
            <w:r w:rsidRPr="00EE7ECA">
              <w:rPr>
                <w:bCs/>
                <w:color w:val="000000"/>
              </w:rPr>
              <w:t>contract</w:t>
            </w:r>
            <w:proofErr w:type="spellEnd"/>
            <w:r w:rsidRPr="00EE7ECA">
              <w:rPr>
                <w:bCs/>
                <w:color w:val="000000"/>
              </w:rPr>
              <w:t xml:space="preserve"> (</w:t>
            </w:r>
            <w:proofErr w:type="spellStart"/>
            <w:r w:rsidRPr="00EE7ECA">
              <w:rPr>
                <w:color w:val="000000"/>
              </w:rPr>
              <w:t>the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expiration</w:t>
            </w:r>
            <w:proofErr w:type="spellEnd"/>
            <w:r w:rsidRPr="00EE7ECA">
              <w:rPr>
                <w:color w:val="000000"/>
              </w:rPr>
              <w:t xml:space="preserve"> of </w:t>
            </w:r>
            <w:proofErr w:type="spellStart"/>
            <w:r w:rsidRPr="00EE7ECA">
              <w:rPr>
                <w:color w:val="000000"/>
              </w:rPr>
              <w:t>the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contract</w:t>
            </w:r>
            <w:proofErr w:type="spellEnd"/>
            <w:r w:rsidRPr="00EE7ECA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EE7ECA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EE7ECA" w:rsidRPr="00EE7ECA" w:rsidRDefault="00EE7ECA" w:rsidP="00EE7ECA">
            <w:pPr>
              <w:rPr>
                <w:color w:val="000000"/>
              </w:rPr>
            </w:pPr>
            <w:r w:rsidRPr="00EE7ECA">
              <w:rPr>
                <w:color w:val="000000"/>
              </w:rPr>
              <w:t>MID-TERM EXAMINATION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EE7ECA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EE7ECA" w:rsidRPr="00EE7ECA" w:rsidRDefault="00EE7ECA" w:rsidP="00EE7ECA">
            <w:pPr>
              <w:rPr>
                <w:bCs/>
                <w:color w:val="000000"/>
              </w:rPr>
            </w:pPr>
            <w:r w:rsidRPr="00EE7ECA">
              <w:rPr>
                <w:bCs/>
                <w:color w:val="000000"/>
              </w:rPr>
              <w:t xml:space="preserve">The </w:t>
            </w:r>
            <w:proofErr w:type="spellStart"/>
            <w:r w:rsidRPr="00EE7ECA">
              <w:rPr>
                <w:bCs/>
                <w:color w:val="000000"/>
              </w:rPr>
              <w:t>contract</w:t>
            </w:r>
            <w:proofErr w:type="spellEnd"/>
            <w:r w:rsidRPr="00EE7ECA">
              <w:rPr>
                <w:bCs/>
                <w:color w:val="000000"/>
              </w:rPr>
              <w:t xml:space="preserve"> of </w:t>
            </w:r>
            <w:proofErr w:type="spellStart"/>
            <w:r w:rsidRPr="00EE7ECA">
              <w:rPr>
                <w:bCs/>
                <w:color w:val="000000"/>
              </w:rPr>
              <w:t>surety</w:t>
            </w:r>
            <w:proofErr w:type="spellEnd"/>
            <w:r w:rsidRPr="00EE7ECA">
              <w:rPr>
                <w:bCs/>
                <w:color w:val="000000"/>
              </w:rPr>
              <w:t xml:space="preserve"> ( </w:t>
            </w:r>
            <w:proofErr w:type="spellStart"/>
            <w:r w:rsidRPr="00EE7ECA">
              <w:rPr>
                <w:bCs/>
                <w:color w:val="000000"/>
              </w:rPr>
              <w:t>definition</w:t>
            </w:r>
            <w:proofErr w:type="spellEnd"/>
            <w:r w:rsidRPr="00EE7ECA">
              <w:rPr>
                <w:bCs/>
                <w:color w:val="000000"/>
              </w:rPr>
              <w:t xml:space="preserve"> </w:t>
            </w:r>
            <w:proofErr w:type="spellStart"/>
            <w:r w:rsidRPr="00EE7ECA">
              <w:rPr>
                <w:bCs/>
                <w:color w:val="000000"/>
              </w:rPr>
              <w:t>and</w:t>
            </w:r>
            <w:proofErr w:type="spellEnd"/>
            <w:r w:rsidRPr="00EE7ECA">
              <w:rPr>
                <w:bCs/>
                <w:color w:val="000000"/>
              </w:rPr>
              <w:t xml:space="preserve"> </w:t>
            </w:r>
            <w:proofErr w:type="spellStart"/>
            <w:r w:rsidRPr="00EE7ECA">
              <w:rPr>
                <w:bCs/>
                <w:color w:val="000000"/>
              </w:rPr>
              <w:t>factors</w:t>
            </w:r>
            <w:proofErr w:type="spellEnd"/>
            <w:r w:rsidRPr="00EE7ECA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EE7ECA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EE7ECA" w:rsidRPr="00EE7ECA" w:rsidRDefault="00EE7ECA" w:rsidP="00EE7ECA">
            <w:pPr>
              <w:rPr>
                <w:bCs/>
                <w:color w:val="000000"/>
              </w:rPr>
            </w:pPr>
            <w:r w:rsidRPr="00EE7ECA">
              <w:rPr>
                <w:bCs/>
                <w:color w:val="000000"/>
              </w:rPr>
              <w:t xml:space="preserve">The </w:t>
            </w:r>
            <w:proofErr w:type="spellStart"/>
            <w:r w:rsidRPr="00EE7ECA">
              <w:rPr>
                <w:bCs/>
                <w:color w:val="000000"/>
              </w:rPr>
              <w:t>contract</w:t>
            </w:r>
            <w:proofErr w:type="spellEnd"/>
            <w:r w:rsidRPr="00EE7ECA">
              <w:rPr>
                <w:bCs/>
                <w:color w:val="000000"/>
              </w:rPr>
              <w:t xml:space="preserve"> of </w:t>
            </w:r>
            <w:proofErr w:type="spellStart"/>
            <w:r w:rsidRPr="00EE7ECA">
              <w:rPr>
                <w:bCs/>
                <w:color w:val="000000"/>
              </w:rPr>
              <w:t>surety</w:t>
            </w:r>
            <w:proofErr w:type="spellEnd"/>
            <w:r w:rsidRPr="00EE7ECA">
              <w:rPr>
                <w:bCs/>
                <w:color w:val="000000"/>
              </w:rPr>
              <w:t xml:space="preserve">  (</w:t>
            </w:r>
            <w:proofErr w:type="spellStart"/>
            <w:r w:rsidRPr="00EE7ECA">
              <w:rPr>
                <w:bCs/>
                <w:color w:val="000000"/>
              </w:rPr>
              <w:t>validity</w:t>
            </w:r>
            <w:proofErr w:type="spellEnd"/>
            <w:r w:rsidRPr="00EE7ECA">
              <w:rPr>
                <w:bCs/>
                <w:color w:val="000000"/>
              </w:rPr>
              <w:t xml:space="preserve"> of </w:t>
            </w:r>
            <w:proofErr w:type="spellStart"/>
            <w:r w:rsidRPr="00EE7ECA">
              <w:rPr>
                <w:bCs/>
                <w:color w:val="000000"/>
              </w:rPr>
              <w:t>contract</w:t>
            </w:r>
            <w:proofErr w:type="spellEnd"/>
            <w:r w:rsidRPr="00EE7ECA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EE7ECA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EE7ECA" w:rsidRPr="00EE7ECA" w:rsidRDefault="00EE7ECA" w:rsidP="00EE7ECA">
            <w:pPr>
              <w:rPr>
                <w:bCs/>
                <w:color w:val="000000"/>
              </w:rPr>
            </w:pPr>
            <w:r w:rsidRPr="00EE7ECA">
              <w:rPr>
                <w:bCs/>
                <w:color w:val="000000"/>
              </w:rPr>
              <w:t xml:space="preserve">The </w:t>
            </w:r>
            <w:proofErr w:type="spellStart"/>
            <w:r w:rsidRPr="00EE7ECA">
              <w:rPr>
                <w:bCs/>
                <w:color w:val="000000"/>
              </w:rPr>
              <w:t>contract</w:t>
            </w:r>
            <w:proofErr w:type="spellEnd"/>
            <w:r w:rsidRPr="00EE7ECA">
              <w:rPr>
                <w:bCs/>
                <w:color w:val="000000"/>
              </w:rPr>
              <w:t xml:space="preserve"> of </w:t>
            </w:r>
            <w:proofErr w:type="spellStart"/>
            <w:r w:rsidRPr="00EE7ECA">
              <w:rPr>
                <w:bCs/>
                <w:color w:val="000000"/>
              </w:rPr>
              <w:t>surety</w:t>
            </w:r>
            <w:proofErr w:type="spellEnd"/>
            <w:r w:rsidRPr="00EE7ECA">
              <w:rPr>
                <w:bCs/>
                <w:color w:val="000000"/>
              </w:rPr>
              <w:t xml:space="preserve">  (</w:t>
            </w:r>
            <w:proofErr w:type="spellStart"/>
            <w:r w:rsidRPr="00EE7ECA">
              <w:rPr>
                <w:bCs/>
                <w:color w:val="000000"/>
              </w:rPr>
              <w:t>validity</w:t>
            </w:r>
            <w:proofErr w:type="spellEnd"/>
            <w:r w:rsidRPr="00EE7ECA">
              <w:rPr>
                <w:bCs/>
                <w:color w:val="000000"/>
              </w:rPr>
              <w:t xml:space="preserve"> of </w:t>
            </w:r>
            <w:proofErr w:type="spellStart"/>
            <w:r w:rsidRPr="00EE7ECA">
              <w:rPr>
                <w:bCs/>
                <w:color w:val="000000"/>
              </w:rPr>
              <w:t>contract</w:t>
            </w:r>
            <w:proofErr w:type="spellEnd"/>
            <w:r w:rsidRPr="00EE7ECA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EE7ECA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EE7ECA" w:rsidRPr="00EE7ECA" w:rsidRDefault="00EE7ECA" w:rsidP="00EE7ECA">
            <w:pPr>
              <w:rPr>
                <w:color w:val="000000"/>
              </w:rPr>
            </w:pPr>
            <w:r w:rsidRPr="00EE7ECA">
              <w:rPr>
                <w:color w:val="000000"/>
              </w:rPr>
              <w:t xml:space="preserve">The </w:t>
            </w:r>
            <w:proofErr w:type="spellStart"/>
            <w:r w:rsidRPr="00EE7ECA">
              <w:rPr>
                <w:color w:val="000000"/>
              </w:rPr>
              <w:t>contract</w:t>
            </w:r>
            <w:proofErr w:type="spellEnd"/>
            <w:r w:rsidRPr="00EE7ECA">
              <w:rPr>
                <w:color w:val="000000"/>
              </w:rPr>
              <w:t xml:space="preserve"> of </w:t>
            </w:r>
            <w:proofErr w:type="spellStart"/>
            <w:r w:rsidRPr="00EE7ECA">
              <w:rPr>
                <w:color w:val="000000"/>
              </w:rPr>
              <w:t>surety</w:t>
            </w:r>
            <w:proofErr w:type="spellEnd"/>
            <w:r w:rsidRPr="00EE7ECA">
              <w:rPr>
                <w:color w:val="000000"/>
              </w:rPr>
              <w:t xml:space="preserve"> (</w:t>
            </w:r>
            <w:proofErr w:type="spellStart"/>
            <w:r w:rsidRPr="00EE7ECA">
              <w:rPr>
                <w:color w:val="000000"/>
              </w:rPr>
              <w:t>rights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and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obligations</w:t>
            </w:r>
            <w:proofErr w:type="spellEnd"/>
            <w:r w:rsidRPr="00EE7ECA">
              <w:rPr>
                <w:color w:val="000000"/>
              </w:rPr>
              <w:t xml:space="preserve"> of </w:t>
            </w:r>
            <w:proofErr w:type="spellStart"/>
            <w:r w:rsidRPr="00EE7ECA">
              <w:rPr>
                <w:color w:val="000000"/>
              </w:rPr>
              <w:t>parties</w:t>
            </w:r>
            <w:proofErr w:type="spellEnd"/>
            <w:r w:rsidRPr="00EE7ECA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EE7ECA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EE7ECA" w:rsidRPr="00EE7ECA" w:rsidRDefault="00EE7ECA" w:rsidP="00EE7ECA">
            <w:pPr>
              <w:rPr>
                <w:color w:val="000000"/>
              </w:rPr>
            </w:pPr>
            <w:r w:rsidRPr="00EE7ECA">
              <w:rPr>
                <w:color w:val="000000"/>
              </w:rPr>
              <w:t xml:space="preserve">The </w:t>
            </w:r>
            <w:proofErr w:type="spellStart"/>
            <w:r w:rsidRPr="00EE7ECA">
              <w:rPr>
                <w:color w:val="000000"/>
              </w:rPr>
              <w:t>contract</w:t>
            </w:r>
            <w:proofErr w:type="spellEnd"/>
            <w:r w:rsidRPr="00EE7ECA">
              <w:rPr>
                <w:color w:val="000000"/>
              </w:rPr>
              <w:t xml:space="preserve"> of </w:t>
            </w:r>
            <w:proofErr w:type="spellStart"/>
            <w:r w:rsidRPr="00EE7ECA">
              <w:rPr>
                <w:color w:val="000000"/>
              </w:rPr>
              <w:t>surety</w:t>
            </w:r>
            <w:proofErr w:type="spellEnd"/>
            <w:r w:rsidRPr="00EE7ECA">
              <w:rPr>
                <w:color w:val="000000"/>
              </w:rPr>
              <w:t xml:space="preserve">  ( </w:t>
            </w:r>
            <w:proofErr w:type="spellStart"/>
            <w:r w:rsidRPr="00EE7ECA">
              <w:rPr>
                <w:color w:val="000000"/>
              </w:rPr>
              <w:t>the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expiration</w:t>
            </w:r>
            <w:proofErr w:type="spellEnd"/>
            <w:r w:rsidRPr="00EE7ECA">
              <w:rPr>
                <w:color w:val="000000"/>
              </w:rPr>
              <w:t xml:space="preserve"> of </w:t>
            </w:r>
            <w:proofErr w:type="spellStart"/>
            <w:r w:rsidRPr="00EE7ECA">
              <w:rPr>
                <w:color w:val="000000"/>
              </w:rPr>
              <w:t>the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contract</w:t>
            </w:r>
            <w:proofErr w:type="spellEnd"/>
            <w:r w:rsidRPr="00EE7ECA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EE7ECA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EE7ECA" w:rsidRPr="00EE7ECA" w:rsidRDefault="00EE7ECA" w:rsidP="00EE7ECA">
            <w:pPr>
              <w:rPr>
                <w:color w:val="000000"/>
              </w:rPr>
            </w:pPr>
            <w:r w:rsidRPr="00EE7ECA">
              <w:rPr>
                <w:color w:val="000000"/>
              </w:rPr>
              <w:t xml:space="preserve">The </w:t>
            </w:r>
            <w:proofErr w:type="spellStart"/>
            <w:r w:rsidRPr="00EE7ECA">
              <w:rPr>
                <w:color w:val="000000"/>
              </w:rPr>
              <w:t>contract</w:t>
            </w:r>
            <w:proofErr w:type="spellEnd"/>
            <w:r w:rsidRPr="00EE7ECA">
              <w:rPr>
                <w:color w:val="000000"/>
              </w:rPr>
              <w:t xml:space="preserve"> of </w:t>
            </w:r>
            <w:proofErr w:type="spellStart"/>
            <w:r w:rsidRPr="00EE7ECA">
              <w:rPr>
                <w:color w:val="000000"/>
              </w:rPr>
              <w:t>warranty</w:t>
            </w:r>
            <w:proofErr w:type="spellEnd"/>
            <w:r w:rsidRPr="00EE7ECA">
              <w:rPr>
                <w:color w:val="000000"/>
              </w:rPr>
              <w:t xml:space="preserve"> (</w:t>
            </w:r>
            <w:proofErr w:type="spellStart"/>
            <w:r w:rsidRPr="00EE7ECA">
              <w:rPr>
                <w:color w:val="000000"/>
              </w:rPr>
              <w:t>definition</w:t>
            </w:r>
            <w:proofErr w:type="spellEnd"/>
            <w:r w:rsidRPr="00EE7ECA">
              <w:rPr>
                <w:color w:val="000000"/>
              </w:rPr>
              <w:t xml:space="preserve">, </w:t>
            </w:r>
            <w:proofErr w:type="spellStart"/>
            <w:r w:rsidRPr="00EE7ECA">
              <w:rPr>
                <w:color w:val="000000"/>
              </w:rPr>
              <w:t>factors</w:t>
            </w:r>
            <w:proofErr w:type="spellEnd"/>
            <w:r w:rsidRPr="00EE7ECA">
              <w:rPr>
                <w:color w:val="000000"/>
              </w:rPr>
              <w:t xml:space="preserve">, </w:t>
            </w:r>
            <w:proofErr w:type="spellStart"/>
            <w:r w:rsidRPr="00EE7ECA">
              <w:rPr>
                <w:color w:val="000000"/>
              </w:rPr>
              <w:t>righst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and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obligations</w:t>
            </w:r>
            <w:proofErr w:type="spellEnd"/>
            <w:r w:rsidRPr="00EE7ECA">
              <w:rPr>
                <w:color w:val="000000"/>
              </w:rPr>
              <w:t xml:space="preserve"> of </w:t>
            </w:r>
            <w:proofErr w:type="spellStart"/>
            <w:r w:rsidRPr="00EE7ECA">
              <w:rPr>
                <w:color w:val="000000"/>
              </w:rPr>
              <w:t>the</w:t>
            </w:r>
            <w:proofErr w:type="spellEnd"/>
            <w:r w:rsidRPr="00EE7ECA">
              <w:rPr>
                <w:color w:val="000000"/>
              </w:rPr>
              <w:t xml:space="preserve"> </w:t>
            </w:r>
            <w:proofErr w:type="spellStart"/>
            <w:r w:rsidRPr="00EE7ECA">
              <w:rPr>
                <w:color w:val="000000"/>
              </w:rPr>
              <w:t>parties</w:t>
            </w:r>
            <w:proofErr w:type="spellEnd"/>
            <w:r w:rsidRPr="00EE7ECA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E7ECA" w:rsidRPr="00872BC7" w:rsidTr="00EE7ECA">
        <w:trPr>
          <w:trHeight w:val="375"/>
        </w:trPr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warranty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definition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factors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righst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parties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Turkish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 The Turkish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Schoolbooks</w:t>
            </w:r>
            <w:proofErr w:type="spellEnd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EE7EC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existence</w:t>
            </w:r>
            <w:proofErr w:type="spellEnd"/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7ECA" w:rsidRPr="00872BC7" w:rsidTr="001D54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EE7ECA" w:rsidRPr="00C51701" w:rsidRDefault="00EE7ECA" w:rsidP="00E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7ECA" w:rsidRPr="00872BC7" w:rsidTr="001D54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EE7ECA" w:rsidRPr="00C51701" w:rsidRDefault="00EE7ECA" w:rsidP="00E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7ECA" w:rsidRPr="00872BC7" w:rsidTr="001D54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EE7ECA" w:rsidRPr="00C51701" w:rsidRDefault="00EE7ECA" w:rsidP="00E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7ECA" w:rsidRPr="00872BC7" w:rsidTr="001D54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EE7ECA" w:rsidRPr="00C51701" w:rsidRDefault="00EE7ECA" w:rsidP="00E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7ECA" w:rsidRPr="00872BC7" w:rsidTr="001D54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EE7ECA" w:rsidRPr="00C51701" w:rsidRDefault="00EE7ECA" w:rsidP="00E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7ECA" w:rsidRPr="00872BC7" w:rsidTr="001D54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EE7ECA" w:rsidRPr="00C51701" w:rsidRDefault="00EE7ECA" w:rsidP="00E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7ECA" w:rsidRPr="00872BC7" w:rsidTr="001D54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EE7ECA" w:rsidRPr="00C51701" w:rsidRDefault="00EE7ECA" w:rsidP="00E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7ECA" w:rsidRPr="00872BC7" w:rsidTr="001D54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EE7ECA" w:rsidRPr="00C51701" w:rsidRDefault="00EE7ECA" w:rsidP="00E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7ECA" w:rsidRPr="00872BC7" w:rsidTr="001D54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EE7ECA" w:rsidRPr="00C51701" w:rsidRDefault="00EE7ECA" w:rsidP="00E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7ECA" w:rsidRPr="00872BC7" w:rsidTr="001D54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EE7ECA" w:rsidRPr="00C51701" w:rsidRDefault="00EE7ECA" w:rsidP="00E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7ECA" w:rsidRPr="00872BC7" w:rsidTr="001D54C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C51701" w:rsidRDefault="00EE7ECA" w:rsidP="00EE7EC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E7ECA" w:rsidRPr="00EE5895" w:rsidRDefault="00EE7ECA" w:rsidP="00EE7EC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EE7ECA" w:rsidRPr="00C51701" w:rsidRDefault="00EE7ECA" w:rsidP="00EE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E7EC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EE7ECA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13CB3"/>
  <w15:docId w15:val="{6B93AB70-0B2C-4B8C-976C-4033850F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  <w:style w:type="table" w:styleId="TabloKlavuzuAk">
    <w:name w:val="Grid Table Light"/>
    <w:basedOn w:val="NormalTablo"/>
    <w:uiPriority w:val="40"/>
    <w:rsid w:val="00EE7E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2017-06-11T16:05:00Z</dcterms:created>
  <dcterms:modified xsi:type="dcterms:W3CDTF">2017-06-11T16:05:00Z</dcterms:modified>
</cp:coreProperties>
</file>