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11"/>
        <w:gridCol w:w="1469"/>
        <w:gridCol w:w="1060"/>
        <w:gridCol w:w="1558"/>
        <w:gridCol w:w="932"/>
        <w:gridCol w:w="973"/>
      </w:tblGrid>
      <w:tr w:rsidR="00453EAE"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453EAE" w:rsidRPr="00F97B74" w:rsidRDefault="00453EAE"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F23423"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F2342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F23423">
              <w:rPr>
                <w:rFonts w:ascii="Verdana" w:hAnsi="Verdana"/>
                <w:color w:val="444444"/>
                <w:sz w:val="18"/>
                <w:szCs w:val="18"/>
                <w:lang w:eastAsia="tr-TR"/>
              </w:rPr>
              <w:t>Ticaret Hukuku 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LAW 321</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3+2</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r w:rsidR="00453EAE">
              <w:rPr>
                <w:rFonts w:ascii="Verdana" w:hAnsi="Verdana"/>
                <w:color w:val="444444"/>
                <w:sz w:val="18"/>
                <w:szCs w:val="18"/>
                <w:lang w:eastAsia="tr-TR"/>
              </w:rPr>
              <w:t xml:space="preserve"> </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Türkçe</w:t>
            </w:r>
            <w:r w:rsidR="00F23423">
              <w:rPr>
                <w:rFonts w:ascii="Verdana" w:hAnsi="Verdana"/>
                <w:noProof/>
                <w:color w:val="444444"/>
                <w:sz w:val="18"/>
                <w:szCs w:val="18"/>
                <w:lang w:eastAsia="tr-TR"/>
              </w:rPr>
              <w:drawing>
                <wp:inline distT="0" distB="0" distL="0" distR="0">
                  <wp:extent cx="274320" cy="190500"/>
                  <wp:effectExtent l="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F23423" w:rsidRPr="00F23423">
              <w:rPr>
                <w:rFonts w:ascii="Verdana" w:hAnsi="Verdana"/>
                <w:color w:val="444444"/>
                <w:sz w:val="18"/>
                <w:szCs w:val="18"/>
                <w:lang w:eastAsia="tr-TR"/>
              </w:rPr>
              <w:t>Prof. Dr. Mehmet Bahtiyar</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F23423" w:rsidRPr="00F23423">
              <w:rPr>
                <w:rFonts w:ascii="Verdana" w:hAnsi="Verdana"/>
                <w:color w:val="444444"/>
                <w:sz w:val="18"/>
                <w:szCs w:val="18"/>
                <w:lang w:eastAsia="tr-TR"/>
              </w:rPr>
              <w:t>Prof. Dr. Mehmet Bahtiyar</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F23423">
              <w:rPr>
                <w:rFonts w:ascii="Verdana" w:hAnsi="Verdana"/>
                <w:color w:val="444444"/>
                <w:sz w:val="18"/>
                <w:szCs w:val="18"/>
                <w:lang w:eastAsia="tr-TR"/>
              </w:rPr>
              <w:t>Ar. Gör. Buket Onur Gökalp</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4E0AA3">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 </w:t>
            </w:r>
            <w:r w:rsidR="00F23423" w:rsidRPr="00F23423">
              <w:rPr>
                <w:rFonts w:ascii="Verdana" w:hAnsi="Verdana"/>
                <w:color w:val="444444"/>
                <w:sz w:val="18"/>
                <w:szCs w:val="18"/>
                <w:lang w:eastAsia="tr-TR"/>
              </w:rPr>
              <w:t>Ticari İşletme Hukuku ve Kıymetli Evrak Hukuku derslerine hakim ilkelerin kavranması</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 </w:t>
            </w:r>
            <w:r w:rsidR="00F23423" w:rsidRPr="00F23423">
              <w:rPr>
                <w:rFonts w:ascii="Verdana" w:hAnsi="Verdana"/>
                <w:color w:val="444444"/>
                <w:sz w:val="18"/>
                <w:szCs w:val="18"/>
                <w:lang w:eastAsia="tr-TR"/>
              </w:rPr>
              <w:t>Bu dersin kapsamında, ticari işletme kavramı, ticari işletmenin devri ve rehni, tacir kavramı, tacir olmanın hüküm ve sonuçları, haksız rekabet, ticaret ünvanı, marka, ticaret sicili, tacir yardımcıları gibi en önemli ticari işletme hukuku kavramları ile kıymetli evraka ilişkin tanım, unsurlar, özellikler, adi senetten farkları, kıymetli evrakın devir şekillleri ve defiler, kambiyo senetleri, türleri, police, bono, çek ve ilgili esaslar öğretilmektedir</w:t>
            </w:r>
            <w:r w:rsidR="00F23423">
              <w:rPr>
                <w:rFonts w:ascii="Verdana" w:hAnsi="Verdana"/>
                <w:color w:val="444444"/>
                <w:sz w:val="18"/>
                <w:szCs w:val="18"/>
                <w:lang w:eastAsia="tr-TR"/>
              </w:rPr>
              <w:t>.</w:t>
            </w:r>
          </w:p>
        </w:tc>
      </w:tr>
    </w:tbl>
    <w:p w:rsidR="00453EAE" w:rsidRPr="00F97B74" w:rsidRDefault="00453EAE"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61"/>
        <w:gridCol w:w="1586"/>
        <w:gridCol w:w="1428"/>
        <w:gridCol w:w="1406"/>
      </w:tblGrid>
      <w:tr w:rsidR="00F23423"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453EAE" w:rsidRPr="00AF7CAC" w:rsidRDefault="00453EAE"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F23423"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Pr="00F97B74" w:rsidRDefault="00F23423"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Ticari işletme hukukunda özellikle 6102 sayılı yeni Türk Ticaret Kanunu ile değişen hukuki kurumları da kapsayacak şekilde temel ticaret hukuku bilgisi ile bugüne kadar ticari işletme hukukunda öğreti ve uygulamada benimsenen esasları özümser</w:t>
            </w:r>
          </w:p>
        </w:tc>
        <w:tc>
          <w:tcPr>
            <w:tcW w:w="0" w:type="auto"/>
            <w:tcBorders>
              <w:bottom w:val="single" w:sz="6" w:space="0" w:color="CCCCCC"/>
            </w:tcBorders>
            <w:shd w:val="clear" w:color="auto" w:fill="FFFFFF"/>
            <w:vAlign w:val="center"/>
          </w:tcPr>
          <w:p w:rsidR="00453EAE" w:rsidRPr="00660279" w:rsidRDefault="00F23423"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1,3,4,5,6,10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23423"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F23423" w:rsidP="00972195">
            <w:pPr>
              <w:spacing w:after="0" w:line="256" w:lineRule="atLeast"/>
              <w:rPr>
                <w:rFonts w:ascii="Verdana" w:hAnsi="Verdana"/>
                <w:color w:val="444444"/>
                <w:sz w:val="18"/>
                <w:szCs w:val="18"/>
                <w:lang w:eastAsia="tr-TR"/>
              </w:rPr>
            </w:pPr>
            <w:r>
              <w:rPr>
                <w:rFonts w:ascii="Verdana" w:hAnsi="Verdana"/>
                <w:color w:val="444444"/>
                <w:sz w:val="18"/>
                <w:szCs w:val="18"/>
                <w:lang w:eastAsia="tr-TR"/>
              </w:rPr>
              <w:t>Çok teknik bilgi gerektiren ve lisans düzeyinde temel esasları en iyi şekilde öğrenilmesi gereken kıymetli evrak hukuku ve bu kapsamda kambiyo senetlerine ilişkin öğreti ve uygulamada benimsenen esasları en iyi şekilde öğrenir</w:t>
            </w: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F23423"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2,3,5,10,11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773858">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23423"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F23423" w:rsidP="00972195">
            <w:pPr>
              <w:spacing w:after="0" w:line="256" w:lineRule="atLeast"/>
              <w:rPr>
                <w:rFonts w:ascii="Verdana" w:hAnsi="Verdana"/>
                <w:color w:val="444444"/>
                <w:sz w:val="18"/>
                <w:szCs w:val="18"/>
                <w:lang w:eastAsia="tr-TR"/>
              </w:rPr>
            </w:pPr>
            <w:r>
              <w:rPr>
                <w:rFonts w:ascii="Verdana" w:hAnsi="Verdana"/>
                <w:color w:val="444444"/>
                <w:sz w:val="18"/>
                <w:szCs w:val="18"/>
                <w:lang w:eastAsia="tr-TR"/>
              </w:rPr>
              <w:t>Özellikle bu alanda pratik çalışma dersleri öğrenciye çok büyük fayda sağlar.</w:t>
            </w: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F23423"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2,3,5,9,10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23423"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F23423"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F23423"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F23423"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453EAE" w:rsidRPr="00F97B74" w:rsidTr="008626AA">
        <w:trPr>
          <w:tblCellSpacing w:w="15" w:type="dxa"/>
          <w:jc w:val="center"/>
        </w:trPr>
        <w:tc>
          <w:tcPr>
            <w:tcW w:w="1000" w:type="pct"/>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453EAE" w:rsidRPr="00F97B7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Style w:val="TabloKlavuzuAk"/>
        <w:tblW w:w="4800" w:type="pct"/>
        <w:tblLook w:val="00A0" w:firstRow="1" w:lastRow="0" w:firstColumn="1" w:lastColumn="0" w:noHBand="0" w:noVBand="0"/>
      </w:tblPr>
      <w:tblGrid>
        <w:gridCol w:w="766"/>
        <w:gridCol w:w="6317"/>
        <w:gridCol w:w="1617"/>
      </w:tblGrid>
      <w:tr w:rsidR="00453EAE" w:rsidRPr="00F97B74" w:rsidTr="00F23423">
        <w:trPr>
          <w:trHeight w:val="525"/>
        </w:trPr>
        <w:tc>
          <w:tcPr>
            <w:tcW w:w="0" w:type="auto"/>
            <w:gridSpan w:val="3"/>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453EAE" w:rsidRPr="00F97B74" w:rsidTr="00F23423">
        <w:trPr>
          <w:trHeight w:val="450"/>
        </w:trPr>
        <w:tc>
          <w:tcPr>
            <w:tcW w:w="382" w:type="pct"/>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07" w:type="pct"/>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Pr>
          <w:p w:rsidR="00F23423" w:rsidRPr="00F23423" w:rsidRDefault="00F23423" w:rsidP="00F23423">
            <w:pPr>
              <w:rPr>
                <w:color w:val="000000"/>
              </w:rPr>
            </w:pPr>
            <w:r w:rsidRPr="00F23423">
              <w:rPr>
                <w:color w:val="000000"/>
              </w:rPr>
              <w:t>Ticari İşletme Hukukuna Giriş/</w:t>
            </w:r>
          </w:p>
          <w:p w:rsidR="00F23423" w:rsidRPr="00F23423" w:rsidRDefault="00F23423" w:rsidP="00F23423">
            <w:pPr>
              <w:rPr>
                <w:color w:val="000000"/>
              </w:rPr>
            </w:pPr>
            <w:r w:rsidRPr="00F23423">
              <w:rPr>
                <w:color w:val="000000"/>
              </w:rPr>
              <w:t>Kıymetli Evrakın Tanımı ve Unsurları, Kıymetli Evrakın Özellikleri</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Pr>
          <w:p w:rsidR="00F23423" w:rsidRPr="00F23423" w:rsidRDefault="00F23423" w:rsidP="00F23423">
            <w:pPr>
              <w:rPr>
                <w:bCs/>
                <w:color w:val="000000"/>
              </w:rPr>
            </w:pPr>
            <w:r w:rsidRPr="00F23423">
              <w:rPr>
                <w:bCs/>
                <w:color w:val="000000"/>
              </w:rPr>
              <w:t>Ticari İşletme/</w:t>
            </w:r>
          </w:p>
          <w:p w:rsidR="00F23423" w:rsidRPr="00F23423" w:rsidRDefault="00F23423" w:rsidP="00F23423">
            <w:pPr>
              <w:rPr>
                <w:bCs/>
                <w:color w:val="000000"/>
              </w:rPr>
            </w:pPr>
            <w:r w:rsidRPr="00F23423">
              <w:rPr>
                <w:bCs/>
                <w:color w:val="000000"/>
              </w:rPr>
              <w:t xml:space="preserve">Kıymetli Evrakın Sınıflandırılması </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Pr>
          <w:p w:rsidR="00F23423" w:rsidRPr="00F23423" w:rsidRDefault="00F23423" w:rsidP="00F23423">
            <w:pPr>
              <w:rPr>
                <w:bCs/>
                <w:color w:val="000000"/>
              </w:rPr>
            </w:pPr>
            <w:r w:rsidRPr="00F23423">
              <w:rPr>
                <w:bCs/>
                <w:color w:val="000000"/>
              </w:rPr>
              <w:t>Ticari İş ve Sonuçları/</w:t>
            </w:r>
          </w:p>
          <w:p w:rsidR="00F23423" w:rsidRPr="00F23423" w:rsidRDefault="00F23423" w:rsidP="00F23423">
            <w:pPr>
              <w:rPr>
                <w:bCs/>
                <w:color w:val="000000"/>
              </w:rPr>
            </w:pPr>
            <w:r w:rsidRPr="00F23423">
              <w:rPr>
                <w:bCs/>
                <w:color w:val="000000"/>
              </w:rPr>
              <w:t>Kıymetli Evrakta Senet Türünün Değişmesi</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Pr>
          <w:p w:rsidR="00F23423" w:rsidRPr="00F23423" w:rsidRDefault="00F23423" w:rsidP="00F23423">
            <w:pPr>
              <w:rPr>
                <w:bCs/>
                <w:color w:val="000000"/>
              </w:rPr>
            </w:pPr>
            <w:r w:rsidRPr="00F23423">
              <w:rPr>
                <w:bCs/>
                <w:color w:val="000000"/>
              </w:rPr>
              <w:t>Ticari Hükümler/</w:t>
            </w:r>
          </w:p>
          <w:p w:rsidR="00F23423" w:rsidRPr="00F23423" w:rsidRDefault="00F23423" w:rsidP="00F23423">
            <w:pPr>
              <w:rPr>
                <w:bCs/>
                <w:color w:val="000000"/>
              </w:rPr>
            </w:pPr>
            <w:r w:rsidRPr="00F23423">
              <w:rPr>
                <w:bCs/>
                <w:color w:val="000000"/>
              </w:rPr>
              <w:t>Kıymetli Evrakta Defiler</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Pr>
          <w:p w:rsidR="00F23423" w:rsidRPr="00F23423" w:rsidRDefault="00F23423" w:rsidP="00F23423">
            <w:pPr>
              <w:rPr>
                <w:bCs/>
                <w:color w:val="000000"/>
              </w:rPr>
            </w:pPr>
            <w:r w:rsidRPr="00F23423">
              <w:rPr>
                <w:bCs/>
                <w:color w:val="000000"/>
              </w:rPr>
              <w:t>Ticari Yargı/</w:t>
            </w:r>
          </w:p>
          <w:p w:rsidR="00F23423" w:rsidRPr="00F23423" w:rsidRDefault="00F23423" w:rsidP="00F23423">
            <w:pPr>
              <w:rPr>
                <w:bCs/>
                <w:color w:val="000000"/>
              </w:rPr>
            </w:pPr>
            <w:r>
              <w:rPr>
                <w:bCs/>
                <w:color w:val="000000"/>
              </w:rPr>
              <w:t>Kıymetli Evrakın Zı</w:t>
            </w:r>
            <w:r w:rsidRPr="00F23423">
              <w:rPr>
                <w:bCs/>
                <w:color w:val="000000"/>
              </w:rPr>
              <w:t>yaı ve İptali</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Pr>
          <w:p w:rsidR="00F23423" w:rsidRPr="00F23423" w:rsidRDefault="00F23423" w:rsidP="00F23423">
            <w:pPr>
              <w:rPr>
                <w:bCs/>
                <w:color w:val="000000"/>
              </w:rPr>
            </w:pPr>
            <w:r w:rsidRPr="00F23423">
              <w:rPr>
                <w:bCs/>
                <w:color w:val="000000"/>
              </w:rPr>
              <w:t>Tacir Sıfatı ve Tacir Olmanın Sonuçları/</w:t>
            </w:r>
          </w:p>
          <w:p w:rsidR="00F23423" w:rsidRPr="00F23423" w:rsidRDefault="00F23423" w:rsidP="00F23423">
            <w:pPr>
              <w:rPr>
                <w:bCs/>
                <w:color w:val="000000"/>
              </w:rPr>
            </w:pPr>
            <w:r w:rsidRPr="00F23423">
              <w:rPr>
                <w:bCs/>
                <w:color w:val="000000"/>
              </w:rPr>
              <w:t xml:space="preserve">Kambiyo Senetleri </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Pr>
          <w:p w:rsidR="00F23423" w:rsidRPr="00F23423" w:rsidRDefault="00F23423" w:rsidP="00F23423">
            <w:pPr>
              <w:rPr>
                <w:color w:val="000000"/>
              </w:rPr>
            </w:pPr>
            <w:r w:rsidRPr="00F23423">
              <w:rPr>
                <w:color w:val="000000"/>
              </w:rPr>
              <w:t>ARA SINAV</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Pr>
          <w:p w:rsidR="00F23423" w:rsidRPr="00F23423" w:rsidRDefault="00F23423" w:rsidP="00F23423">
            <w:pPr>
              <w:rPr>
                <w:bCs/>
                <w:color w:val="000000"/>
              </w:rPr>
            </w:pPr>
            <w:r>
              <w:rPr>
                <w:bCs/>
                <w:color w:val="000000"/>
              </w:rPr>
              <w:t>Ticaret U</w:t>
            </w:r>
            <w:r w:rsidRPr="00F23423">
              <w:rPr>
                <w:bCs/>
                <w:color w:val="000000"/>
              </w:rPr>
              <w:t>nvanı,  İşletme Adı ve Marka/</w:t>
            </w:r>
          </w:p>
          <w:p w:rsidR="00F23423" w:rsidRPr="00F23423" w:rsidRDefault="00F23423" w:rsidP="00F23423">
            <w:pPr>
              <w:rPr>
                <w:bCs/>
                <w:color w:val="000000"/>
              </w:rPr>
            </w:pPr>
            <w:r w:rsidRPr="00F23423">
              <w:rPr>
                <w:bCs/>
                <w:color w:val="000000"/>
              </w:rPr>
              <w:t>Poliçe, Şekil Şartları, Şekil Şartlarına Aykırılığın Sonuçları</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Pr>
          <w:p w:rsidR="00F23423" w:rsidRPr="00F23423" w:rsidRDefault="00F23423" w:rsidP="00F23423">
            <w:pPr>
              <w:rPr>
                <w:bCs/>
                <w:color w:val="000000"/>
              </w:rPr>
            </w:pPr>
            <w:r w:rsidRPr="00F23423">
              <w:rPr>
                <w:bCs/>
                <w:color w:val="000000"/>
              </w:rPr>
              <w:t xml:space="preserve">Haksız Rekabet/ </w:t>
            </w:r>
          </w:p>
          <w:p w:rsidR="00F23423" w:rsidRPr="00F23423" w:rsidRDefault="00F23423" w:rsidP="00F23423">
            <w:pPr>
              <w:rPr>
                <w:bCs/>
                <w:color w:val="000000"/>
              </w:rPr>
            </w:pPr>
            <w:r w:rsidRPr="00F23423">
              <w:rPr>
                <w:bCs/>
                <w:color w:val="000000"/>
              </w:rPr>
              <w:t>Açık Poliçe, İmzaların Bağımsızlığı İlkesi</w:t>
            </w:r>
            <w:r>
              <w:rPr>
                <w:bCs/>
                <w:color w:val="000000"/>
              </w:rPr>
              <w:t>, Poliçenin Cirosu, Poliçede Avâ</w:t>
            </w:r>
            <w:r w:rsidRPr="00F23423">
              <w:rPr>
                <w:bCs/>
                <w:color w:val="000000"/>
              </w:rPr>
              <w:t>l</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lastRenderedPageBreak/>
              <w:t>10</w:t>
            </w:r>
          </w:p>
        </w:tc>
        <w:tc>
          <w:tcPr>
            <w:tcW w:w="0" w:type="auto"/>
          </w:tcPr>
          <w:p w:rsidR="00F23423" w:rsidRPr="00F23423" w:rsidRDefault="00F23423" w:rsidP="00F23423">
            <w:pPr>
              <w:rPr>
                <w:bCs/>
                <w:color w:val="000000"/>
              </w:rPr>
            </w:pPr>
            <w:r w:rsidRPr="00F23423">
              <w:rPr>
                <w:bCs/>
                <w:color w:val="000000"/>
              </w:rPr>
              <w:t>Ticari Defterler/</w:t>
            </w:r>
          </w:p>
          <w:p w:rsidR="00F23423" w:rsidRPr="00F23423" w:rsidRDefault="00F23423" w:rsidP="00F23423">
            <w:pPr>
              <w:rPr>
                <w:bCs/>
                <w:color w:val="000000"/>
              </w:rPr>
            </w:pPr>
            <w:r w:rsidRPr="00F23423">
              <w:rPr>
                <w:bCs/>
                <w:color w:val="000000"/>
              </w:rPr>
              <w:t xml:space="preserve">Bono, Şekil Şartları, </w:t>
            </w:r>
            <w:r w:rsidRPr="00F23423">
              <w:rPr>
                <w:color w:val="000000"/>
              </w:rPr>
              <w:t>Şekil Şartlarına Aykırılığın Sonuçları</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Pr>
          <w:p w:rsidR="00F23423" w:rsidRPr="00F23423" w:rsidRDefault="00F23423" w:rsidP="00F23423">
            <w:pPr>
              <w:rPr>
                <w:color w:val="000000"/>
              </w:rPr>
            </w:pPr>
            <w:r w:rsidRPr="00F23423">
              <w:rPr>
                <w:color w:val="000000"/>
              </w:rPr>
              <w:t>Ticaret Sicili/</w:t>
            </w:r>
          </w:p>
          <w:p w:rsidR="00F23423" w:rsidRPr="00F23423" w:rsidRDefault="00F23423" w:rsidP="00F23423">
            <w:pPr>
              <w:rPr>
                <w:color w:val="000000"/>
              </w:rPr>
            </w:pPr>
            <w:r w:rsidRPr="00F23423">
              <w:rPr>
                <w:color w:val="000000"/>
              </w:rPr>
              <w:t xml:space="preserve">Bonoya Uygulanacak Poliçe Hükümleri, Bonoda Zamanaşımı </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Pr>
          <w:p w:rsidR="00F23423" w:rsidRPr="00F23423" w:rsidRDefault="00F23423" w:rsidP="00F23423">
            <w:pPr>
              <w:rPr>
                <w:color w:val="000000"/>
              </w:rPr>
            </w:pPr>
            <w:r w:rsidRPr="00F23423">
              <w:rPr>
                <w:color w:val="000000"/>
              </w:rPr>
              <w:t>Tacir Yardımcıları/</w:t>
            </w:r>
          </w:p>
          <w:p w:rsidR="00F23423" w:rsidRPr="00F23423" w:rsidRDefault="00F23423" w:rsidP="00F23423">
            <w:pPr>
              <w:rPr>
                <w:color w:val="000000"/>
              </w:rPr>
            </w:pPr>
            <w:r w:rsidRPr="00F23423">
              <w:rPr>
                <w:color w:val="000000"/>
              </w:rPr>
              <w:t>Çek, Şekil Şartları, Şekil Şartlarına Aykırılığın Sonuçları</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Pr>
          <w:p w:rsidR="00F23423" w:rsidRPr="00F23423" w:rsidRDefault="00F23423" w:rsidP="00F23423">
            <w:pPr>
              <w:rPr>
                <w:color w:val="000000"/>
              </w:rPr>
            </w:pPr>
            <w:r w:rsidRPr="00F23423">
              <w:rPr>
                <w:color w:val="000000"/>
              </w:rPr>
              <w:t>Tacir Yardımcıları/</w:t>
            </w:r>
          </w:p>
          <w:p w:rsidR="00F23423" w:rsidRPr="00F23423" w:rsidRDefault="00F23423" w:rsidP="00F23423">
            <w:pPr>
              <w:rPr>
                <w:color w:val="000000"/>
              </w:rPr>
            </w:pPr>
            <w:r w:rsidRPr="00F23423">
              <w:rPr>
                <w:color w:val="000000"/>
              </w:rPr>
              <w:t xml:space="preserve">Çekin Temel Bazı Özellik ve Farklılıkları </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r w:rsidR="00F23423" w:rsidRPr="00F97B74" w:rsidTr="00F23423">
        <w:trPr>
          <w:trHeight w:val="375"/>
        </w:trPr>
        <w:tc>
          <w:tcPr>
            <w:tcW w:w="0" w:type="auto"/>
          </w:tcPr>
          <w:p w:rsidR="00F23423" w:rsidRPr="00972195" w:rsidRDefault="00F23423" w:rsidP="00F23423">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Pr>
          <w:p w:rsidR="00F23423" w:rsidRPr="00F23423" w:rsidRDefault="00F23423" w:rsidP="00F23423">
            <w:pPr>
              <w:rPr>
                <w:bCs/>
                <w:color w:val="000000"/>
              </w:rPr>
            </w:pPr>
            <w:r w:rsidRPr="00F23423">
              <w:rPr>
                <w:bCs/>
                <w:color w:val="000000"/>
              </w:rPr>
              <w:t>Cari Hesap/</w:t>
            </w:r>
          </w:p>
          <w:p w:rsidR="00F23423" w:rsidRPr="00F23423" w:rsidRDefault="00F23423" w:rsidP="00F23423">
            <w:pPr>
              <w:rPr>
                <w:bCs/>
                <w:color w:val="000000"/>
              </w:rPr>
            </w:pPr>
            <w:r w:rsidRPr="00F23423">
              <w:rPr>
                <w:bCs/>
                <w:color w:val="000000"/>
              </w:rPr>
              <w:t>Çekin Ödenmemesi Nedeniyle Sorumluluk ve Başvuru Hakkı</w:t>
            </w:r>
          </w:p>
        </w:tc>
        <w:tc>
          <w:tcPr>
            <w:tcW w:w="0" w:type="auto"/>
          </w:tcPr>
          <w:p w:rsidR="00F23423" w:rsidRPr="00F97B74" w:rsidRDefault="00F23423" w:rsidP="00F23423">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6934"/>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453EAE" w:rsidRPr="00F97B74"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23423" w:rsidRDefault="00F23423" w:rsidP="00F23423">
            <w:pPr>
              <w:spacing w:after="0" w:line="256" w:lineRule="atLeast"/>
              <w:rPr>
                <w:rFonts w:ascii="Verdana" w:hAnsi="Verdana"/>
                <w:color w:val="444444"/>
                <w:sz w:val="18"/>
                <w:szCs w:val="18"/>
                <w:lang w:eastAsia="tr-TR"/>
              </w:rPr>
            </w:pPr>
            <w:r w:rsidRPr="00F23423">
              <w:rPr>
                <w:rFonts w:ascii="Verdana" w:hAnsi="Verdana"/>
                <w:color w:val="444444"/>
                <w:sz w:val="18"/>
                <w:szCs w:val="18"/>
                <w:lang w:eastAsia="tr-TR"/>
              </w:rPr>
              <w:t>Bahtiyar; Ticari İşletme Hukuku, 12. Bası, Beta, İstanbul 2012</w:t>
            </w:r>
          </w:p>
          <w:p w:rsidR="00453EAE" w:rsidRPr="00F97B74" w:rsidRDefault="00F23423" w:rsidP="00F23423">
            <w:pPr>
              <w:spacing w:after="0" w:line="256" w:lineRule="atLeast"/>
              <w:rPr>
                <w:rFonts w:ascii="Verdana" w:hAnsi="Verdana"/>
                <w:color w:val="444444"/>
                <w:sz w:val="18"/>
                <w:szCs w:val="18"/>
                <w:lang w:eastAsia="tr-TR"/>
              </w:rPr>
            </w:pPr>
            <w:r w:rsidRPr="00F23423">
              <w:rPr>
                <w:rFonts w:ascii="Verdana" w:hAnsi="Verdana"/>
                <w:color w:val="444444"/>
                <w:sz w:val="18"/>
                <w:szCs w:val="18"/>
                <w:lang w:eastAsia="tr-TR"/>
              </w:rPr>
              <w:t>Bahtiyar; Kıymetli Evrak Hukuku, 10. Bası, Beta, İstanbul 2012</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23423" w:rsidRDefault="00F23423" w:rsidP="00F23423">
            <w:pPr>
              <w:spacing w:after="0" w:line="288" w:lineRule="atLeast"/>
              <w:rPr>
                <w:rFonts w:ascii="Verdana" w:hAnsi="Verdana"/>
                <w:color w:val="444444"/>
                <w:sz w:val="18"/>
                <w:szCs w:val="18"/>
                <w:lang w:eastAsia="tr-TR"/>
              </w:rPr>
            </w:pPr>
            <w:r w:rsidRPr="00F23423">
              <w:rPr>
                <w:rFonts w:ascii="Verdana" w:hAnsi="Verdana"/>
                <w:color w:val="444444"/>
                <w:sz w:val="18"/>
                <w:szCs w:val="18"/>
                <w:lang w:eastAsia="tr-TR"/>
              </w:rPr>
              <w:t>Arkan; Ticari İşletme Hukuku, 17. Bası, Banka ve Ticaret Hukuku Araştırma Enstitüsü, Ankara 2012</w:t>
            </w:r>
          </w:p>
          <w:p w:rsidR="00453EAE" w:rsidRPr="00F97B74" w:rsidRDefault="00F23423" w:rsidP="00F23423">
            <w:pPr>
              <w:spacing w:after="0" w:line="288" w:lineRule="atLeast"/>
              <w:rPr>
                <w:rFonts w:ascii="Verdana" w:hAnsi="Verdana"/>
                <w:color w:val="444444"/>
                <w:sz w:val="18"/>
                <w:szCs w:val="18"/>
                <w:lang w:eastAsia="tr-TR"/>
              </w:rPr>
            </w:pPr>
            <w:r w:rsidRPr="00F23423">
              <w:rPr>
                <w:rFonts w:ascii="Verdana" w:hAnsi="Verdana"/>
                <w:color w:val="444444"/>
                <w:sz w:val="18"/>
                <w:szCs w:val="18"/>
                <w:lang w:eastAsia="tr-TR"/>
              </w:rPr>
              <w:t>Öztan; Kıymetli Evrak Hukuku, 17. Bası, Turhan, Ankara 2012</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453EAE"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5"/>
        <w:gridCol w:w="1953"/>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8847CC" w:rsidRDefault="00453EAE"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453EAE"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6983"/>
        <w:gridCol w:w="249"/>
        <w:gridCol w:w="249"/>
        <w:gridCol w:w="249"/>
        <w:gridCol w:w="249"/>
        <w:gridCol w:w="249"/>
        <w:gridCol w:w="86"/>
      </w:tblGrid>
      <w:tr w:rsidR="00453EAE" w:rsidRPr="00F97B74"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453EAE" w:rsidRPr="00F97B74"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453EAE" w:rsidRPr="00F97B74" w:rsidTr="00AF7CAC">
        <w:trPr>
          <w:tblCellSpacing w:w="15" w:type="dxa"/>
          <w:jc w:val="center"/>
        </w:trPr>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rPr>
                <w:rFonts w:ascii="Verdana" w:hAnsi="Verdana"/>
                <w:sz w:val="18"/>
                <w:szCs w:val="18"/>
              </w:rPr>
            </w:pPr>
            <w:r>
              <w:rPr>
                <w:rFonts w:ascii="Verdana" w:hAnsi="Verdana"/>
                <w:sz w:val="18"/>
                <w:szCs w:val="18"/>
              </w:rPr>
              <w:t>Hukuk alanında bilimsel kaynaklara, yargı içtihatlarına hakim olmak, ulusal ve uluslararası alanda karşılaştırmalı hukuk analizleri yapabilmek</w:t>
            </w: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rPr>
                <w:rFonts w:ascii="Verdana" w:hAnsi="Verdana"/>
                <w:sz w:val="18"/>
                <w:szCs w:val="18"/>
              </w:rPr>
            </w:pPr>
            <w:r>
              <w:rPr>
                <w:rFonts w:ascii="Verdana" w:hAnsi="Verdana"/>
                <w:sz w:val="18"/>
                <w:szCs w:val="18"/>
              </w:rPr>
              <w:t>Uzlaşma seçeneklerini geliştirebilmek, yaratıcı ve yenilikçi çözümler üretebilmek</w:t>
            </w: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rPr>
                <w:rFonts w:ascii="Verdana" w:hAnsi="Verdana"/>
                <w:sz w:val="18"/>
                <w:szCs w:val="18"/>
              </w:rPr>
            </w:pPr>
            <w:r>
              <w:rPr>
                <w:rFonts w:ascii="Verdana" w:hAnsi="Verdana"/>
                <w:sz w:val="18"/>
                <w:szCs w:val="18"/>
              </w:rPr>
              <w:t>İkinci bir yabancı dili orta düzeyde kullanabilmek</w:t>
            </w:r>
          </w:p>
        </w:tc>
        <w:tc>
          <w:tcPr>
            <w:tcW w:w="0" w:type="auto"/>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AF7CAC" w:rsidRDefault="00F23423" w:rsidP="00F23423">
            <w:pPr>
              <w:rPr>
                <w:rFonts w:ascii="Verdana" w:hAnsi="Verdana"/>
                <w:sz w:val="18"/>
                <w:szCs w:val="18"/>
              </w:rPr>
            </w:pPr>
            <w:r>
              <w:rPr>
                <w:rFonts w:ascii="Verdana" w:hAnsi="Verdana"/>
                <w:sz w:val="18"/>
                <w:szCs w:val="18"/>
              </w:rPr>
              <w:t>Hukuk biliminin mesleki ve bilimsel etik ilkeleri yanında, toplumsal etik değerlere de sahip olmak</w:t>
            </w: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423" w:rsidRPr="00F97B74" w:rsidRDefault="00F23423" w:rsidP="00F23423">
            <w:pPr>
              <w:rPr>
                <w:rFonts w:ascii="Verdana" w:hAnsi="Verdana"/>
                <w:sz w:val="18"/>
                <w:szCs w:val="18"/>
              </w:rPr>
            </w:pPr>
            <w:r>
              <w:rPr>
                <w:rFonts w:ascii="Verdana" w:hAnsi="Verdana"/>
                <w:sz w:val="18"/>
                <w:szCs w:val="18"/>
              </w:rPr>
              <w:t>Hukuk alanında etkin yazma, konuşma ve dinleme becerisine sahip olmak</w:t>
            </w: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r w:rsidR="00F23423" w:rsidRPr="00F97B74" w:rsidTr="00765D21">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F23423" w:rsidRPr="00F97B74" w:rsidRDefault="00F23423" w:rsidP="00F23423">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F23423" w:rsidRPr="00F97B74" w:rsidRDefault="00F23423" w:rsidP="00F23423">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righ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p>
        </w:tc>
        <w:tc>
          <w:tcPr>
            <w:tcW w:w="0" w:type="auto"/>
            <w:tcBorders>
              <w:left w:val="nil"/>
            </w:tcBorders>
            <w:tcMar>
              <w:top w:w="15" w:type="dxa"/>
              <w:left w:w="80" w:type="dxa"/>
              <w:bottom w:w="15" w:type="dxa"/>
              <w:right w:w="15" w:type="dxa"/>
            </w:tcMar>
            <w:vAlign w:val="center"/>
          </w:tcPr>
          <w:p w:rsidR="00F23423" w:rsidRPr="00EE5895" w:rsidRDefault="00F23423" w:rsidP="00F23423">
            <w:pPr>
              <w:rPr>
                <w:color w:val="000000"/>
              </w:rPr>
            </w:pPr>
            <w:r>
              <w:rPr>
                <w:color w:val="000000"/>
              </w:rPr>
              <w:t>X</w:t>
            </w:r>
          </w:p>
        </w:tc>
        <w:tc>
          <w:tcPr>
            <w:tcW w:w="0" w:type="auto"/>
            <w:tcBorders>
              <w:bottom w:val="single" w:sz="2" w:space="0" w:color="888888"/>
            </w:tcBorders>
            <w:shd w:val="clear" w:color="auto" w:fill="ECEBEB"/>
            <w:vAlign w:val="center"/>
          </w:tcPr>
          <w:p w:rsidR="00F23423" w:rsidRPr="00F97B74" w:rsidRDefault="00F23423" w:rsidP="00F23423">
            <w:pPr>
              <w:spacing w:after="0" w:line="240" w:lineRule="auto"/>
              <w:rPr>
                <w:rFonts w:ascii="Verdana" w:hAnsi="Verdana"/>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884"/>
        <w:gridCol w:w="816"/>
        <w:gridCol w:w="959"/>
      </w:tblGrid>
      <w:tr w:rsidR="00453EAE"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resi (Sınav haftası dahildir: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28</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103</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4,12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342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bookmarkStart w:id="0" w:name="_GoBack"/>
            <w:bookmarkEnd w:id="0"/>
          </w:p>
        </w:tc>
      </w:tr>
    </w:tbl>
    <w:p w:rsidR="00453EAE" w:rsidRPr="00F97B74" w:rsidRDefault="00453EAE">
      <w:pPr>
        <w:rPr>
          <w:rFonts w:ascii="Verdana" w:hAnsi="Verdana"/>
          <w:sz w:val="18"/>
          <w:szCs w:val="18"/>
        </w:rPr>
      </w:pPr>
    </w:p>
    <w:sectPr w:rsidR="00453EAE"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211FE"/>
    <w:rsid w:val="000B7513"/>
    <w:rsid w:val="000E6E35"/>
    <w:rsid w:val="00112A31"/>
    <w:rsid w:val="00172FCF"/>
    <w:rsid w:val="00177CC8"/>
    <w:rsid w:val="00311892"/>
    <w:rsid w:val="003259BA"/>
    <w:rsid w:val="0036189B"/>
    <w:rsid w:val="00453EAE"/>
    <w:rsid w:val="004E0AA3"/>
    <w:rsid w:val="00562006"/>
    <w:rsid w:val="00581176"/>
    <w:rsid w:val="00637FA0"/>
    <w:rsid w:val="00660279"/>
    <w:rsid w:val="007239BD"/>
    <w:rsid w:val="00773858"/>
    <w:rsid w:val="00792C50"/>
    <w:rsid w:val="007B6A90"/>
    <w:rsid w:val="007F2908"/>
    <w:rsid w:val="0080531E"/>
    <w:rsid w:val="00814D5D"/>
    <w:rsid w:val="008626AA"/>
    <w:rsid w:val="00864464"/>
    <w:rsid w:val="008847CC"/>
    <w:rsid w:val="008C3B7E"/>
    <w:rsid w:val="008C5CFD"/>
    <w:rsid w:val="00972195"/>
    <w:rsid w:val="009A7DC1"/>
    <w:rsid w:val="009C63D2"/>
    <w:rsid w:val="00A06E11"/>
    <w:rsid w:val="00A13265"/>
    <w:rsid w:val="00AA054C"/>
    <w:rsid w:val="00AB3ABB"/>
    <w:rsid w:val="00AF7C4E"/>
    <w:rsid w:val="00AF7CAC"/>
    <w:rsid w:val="00B937F7"/>
    <w:rsid w:val="00BF497E"/>
    <w:rsid w:val="00C876ED"/>
    <w:rsid w:val="00D17B08"/>
    <w:rsid w:val="00D9534C"/>
    <w:rsid w:val="00EA6B8C"/>
    <w:rsid w:val="00F17541"/>
    <w:rsid w:val="00F23423"/>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23FAA"/>
  <w15:docId w15:val="{F3161EBE-7FA6-4A97-8F4D-40809E8C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 w:type="table" w:styleId="TabloKlavuzuAk">
    <w:name w:val="Grid Table Light"/>
    <w:basedOn w:val="NormalTablo"/>
    <w:uiPriority w:val="40"/>
    <w:rsid w:val="00F234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9691">
      <w:marLeft w:val="0"/>
      <w:marRight w:val="0"/>
      <w:marTop w:val="0"/>
      <w:marBottom w:val="0"/>
      <w:divBdr>
        <w:top w:val="none" w:sz="0" w:space="0" w:color="auto"/>
        <w:left w:val="none" w:sz="0" w:space="0" w:color="auto"/>
        <w:bottom w:val="none" w:sz="0" w:space="0" w:color="auto"/>
        <w:right w:val="none" w:sz="0" w:space="0" w:color="auto"/>
      </w:divBdr>
      <w:divsChild>
        <w:div w:id="518469687">
          <w:marLeft w:val="0"/>
          <w:marRight w:val="0"/>
          <w:marTop w:val="0"/>
          <w:marBottom w:val="0"/>
          <w:divBdr>
            <w:top w:val="none" w:sz="0" w:space="0" w:color="auto"/>
            <w:left w:val="none" w:sz="0" w:space="0" w:color="auto"/>
            <w:bottom w:val="none" w:sz="0" w:space="0" w:color="auto"/>
            <w:right w:val="none" w:sz="0" w:space="0" w:color="auto"/>
          </w:divBdr>
        </w:div>
        <w:div w:id="518469688">
          <w:marLeft w:val="0"/>
          <w:marRight w:val="0"/>
          <w:marTop w:val="0"/>
          <w:marBottom w:val="0"/>
          <w:divBdr>
            <w:top w:val="none" w:sz="0" w:space="0" w:color="auto"/>
            <w:left w:val="none" w:sz="0" w:space="0" w:color="auto"/>
            <w:bottom w:val="none" w:sz="0" w:space="0" w:color="auto"/>
            <w:right w:val="none" w:sz="0" w:space="0" w:color="auto"/>
          </w:divBdr>
        </w:div>
        <w:div w:id="518469689">
          <w:marLeft w:val="0"/>
          <w:marRight w:val="0"/>
          <w:marTop w:val="0"/>
          <w:marBottom w:val="0"/>
          <w:divBdr>
            <w:top w:val="none" w:sz="0" w:space="0" w:color="auto"/>
            <w:left w:val="none" w:sz="0" w:space="0" w:color="auto"/>
            <w:bottom w:val="none" w:sz="0" w:space="0" w:color="auto"/>
            <w:right w:val="none" w:sz="0" w:space="0" w:color="auto"/>
          </w:divBdr>
        </w:div>
        <w:div w:id="518469690">
          <w:marLeft w:val="0"/>
          <w:marRight w:val="0"/>
          <w:marTop w:val="0"/>
          <w:marBottom w:val="0"/>
          <w:divBdr>
            <w:top w:val="none" w:sz="0" w:space="0" w:color="auto"/>
            <w:left w:val="none" w:sz="0" w:space="0" w:color="auto"/>
            <w:bottom w:val="none" w:sz="0" w:space="0" w:color="auto"/>
            <w:right w:val="none" w:sz="0" w:space="0" w:color="auto"/>
          </w:divBdr>
        </w:div>
        <w:div w:id="518469692">
          <w:marLeft w:val="0"/>
          <w:marRight w:val="0"/>
          <w:marTop w:val="0"/>
          <w:marBottom w:val="0"/>
          <w:divBdr>
            <w:top w:val="none" w:sz="0" w:space="0" w:color="auto"/>
            <w:left w:val="none" w:sz="0" w:space="0" w:color="auto"/>
            <w:bottom w:val="none" w:sz="0" w:space="0" w:color="auto"/>
            <w:right w:val="none" w:sz="0" w:space="0" w:color="auto"/>
          </w:divBdr>
        </w:div>
        <w:div w:id="518469693">
          <w:marLeft w:val="0"/>
          <w:marRight w:val="0"/>
          <w:marTop w:val="0"/>
          <w:marBottom w:val="0"/>
          <w:divBdr>
            <w:top w:val="none" w:sz="0" w:space="0" w:color="auto"/>
            <w:left w:val="none" w:sz="0" w:space="0" w:color="auto"/>
            <w:bottom w:val="none" w:sz="0" w:space="0" w:color="auto"/>
            <w:right w:val="none" w:sz="0" w:space="0" w:color="auto"/>
          </w:divBdr>
        </w:div>
        <w:div w:id="518469694">
          <w:marLeft w:val="0"/>
          <w:marRight w:val="0"/>
          <w:marTop w:val="0"/>
          <w:marBottom w:val="0"/>
          <w:divBdr>
            <w:top w:val="none" w:sz="0" w:space="0" w:color="auto"/>
            <w:left w:val="none" w:sz="0" w:space="0" w:color="auto"/>
            <w:bottom w:val="none" w:sz="0" w:space="0" w:color="auto"/>
            <w:right w:val="none" w:sz="0" w:space="0" w:color="auto"/>
          </w:divBdr>
        </w:div>
        <w:div w:id="518469695">
          <w:marLeft w:val="0"/>
          <w:marRight w:val="0"/>
          <w:marTop w:val="0"/>
          <w:marBottom w:val="0"/>
          <w:divBdr>
            <w:top w:val="none" w:sz="0" w:space="0" w:color="auto"/>
            <w:left w:val="none" w:sz="0" w:space="0" w:color="auto"/>
            <w:bottom w:val="none" w:sz="0" w:space="0" w:color="auto"/>
            <w:right w:val="none" w:sz="0" w:space="0" w:color="auto"/>
          </w:divBdr>
        </w:div>
        <w:div w:id="518469696">
          <w:marLeft w:val="0"/>
          <w:marRight w:val="0"/>
          <w:marTop w:val="0"/>
          <w:marBottom w:val="0"/>
          <w:divBdr>
            <w:top w:val="none" w:sz="0" w:space="0" w:color="auto"/>
            <w:left w:val="none" w:sz="0" w:space="0" w:color="auto"/>
            <w:bottom w:val="none" w:sz="0" w:space="0" w:color="auto"/>
            <w:right w:val="none" w:sz="0" w:space="0" w:color="auto"/>
          </w:divBdr>
        </w:div>
        <w:div w:id="518469697">
          <w:marLeft w:val="0"/>
          <w:marRight w:val="0"/>
          <w:marTop w:val="0"/>
          <w:marBottom w:val="0"/>
          <w:divBdr>
            <w:top w:val="none" w:sz="0" w:space="0" w:color="auto"/>
            <w:left w:val="none" w:sz="0" w:space="0" w:color="auto"/>
            <w:bottom w:val="none" w:sz="0" w:space="0" w:color="auto"/>
            <w:right w:val="none" w:sz="0" w:space="0" w:color="auto"/>
          </w:divBdr>
        </w:div>
        <w:div w:id="518469698">
          <w:marLeft w:val="0"/>
          <w:marRight w:val="0"/>
          <w:marTop w:val="0"/>
          <w:marBottom w:val="0"/>
          <w:divBdr>
            <w:top w:val="none" w:sz="0" w:space="0" w:color="auto"/>
            <w:left w:val="none" w:sz="0" w:space="0" w:color="auto"/>
            <w:bottom w:val="none" w:sz="0" w:space="0" w:color="auto"/>
            <w:right w:val="none" w:sz="0" w:space="0" w:color="auto"/>
          </w:divBdr>
        </w:div>
        <w:div w:id="518469699">
          <w:marLeft w:val="0"/>
          <w:marRight w:val="0"/>
          <w:marTop w:val="0"/>
          <w:marBottom w:val="0"/>
          <w:divBdr>
            <w:top w:val="none" w:sz="0" w:space="0" w:color="auto"/>
            <w:left w:val="none" w:sz="0" w:space="0" w:color="auto"/>
            <w:bottom w:val="none" w:sz="0" w:space="0" w:color="auto"/>
            <w:right w:val="none" w:sz="0" w:space="0" w:color="auto"/>
          </w:divBdr>
        </w:div>
        <w:div w:id="518469700">
          <w:marLeft w:val="0"/>
          <w:marRight w:val="0"/>
          <w:marTop w:val="0"/>
          <w:marBottom w:val="0"/>
          <w:divBdr>
            <w:top w:val="none" w:sz="0" w:space="0" w:color="auto"/>
            <w:left w:val="none" w:sz="0" w:space="0" w:color="auto"/>
            <w:bottom w:val="none" w:sz="0" w:space="0" w:color="auto"/>
            <w:right w:val="none" w:sz="0" w:space="0" w:color="auto"/>
          </w:divBdr>
        </w:div>
        <w:div w:id="51846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DERS BİLGİLERİ</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Tayanç Tunca Molla</cp:lastModifiedBy>
  <cp:revision>2</cp:revision>
  <dcterms:created xsi:type="dcterms:W3CDTF">2017-06-11T13:28:00Z</dcterms:created>
  <dcterms:modified xsi:type="dcterms:W3CDTF">2017-06-11T13:28:00Z</dcterms:modified>
</cp:coreProperties>
</file>