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3"/>
        <w:gridCol w:w="1449"/>
        <w:gridCol w:w="1045"/>
        <w:gridCol w:w="1537"/>
        <w:gridCol w:w="919"/>
        <w:gridCol w:w="960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D2508F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D2508F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Ticaret Hukuku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322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D2508F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Mehmet Bahtiyar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Mehmet Bahtiyar</w:t>
            </w:r>
          </w:p>
          <w:p w:rsidR="00D2508F" w:rsidRPr="00F97B74" w:rsidRDefault="00D2508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Yard. Doç. Dr. Mehmet Fethi Şua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Buket Onur Arpacı Gökalp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2508F"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hukukundaki ortaklık tiplerinin ve şirketler hukukuna hakim ilkelerin kavranması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2508F"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 dersin kapsamında, şirketler hukukunun genel hükümleri, temel ilkeler, borçlar kanununda düzenlenen adi ortaklık ve ticaret kanununda ayrıntılı hükümlerle düzenlenen ticaret ortaklık</w:t>
            </w:r>
            <w:r w:rsid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ları, kolektif, komandit, anoni</w:t>
            </w:r>
            <w:r w:rsidR="00D2508F"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 ve limited ortaklıklar hakkında ayrıntılı bilgi verilmektedir.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7"/>
        <w:gridCol w:w="1637"/>
        <w:gridCol w:w="1458"/>
        <w:gridCol w:w="1429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D2508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Ticaret hukuku öğretisi ve uygulamasındaki temel esasları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2508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D2508F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Özellikle 6102 sayılı yeni Türk Ticaret Kanunu hükümleri çerçevesinde eski kanuna nazaran pek çok değişikliği bünyesinde barındıran ortaklıklar hukuku ve ortaklık türlerine ilişkin esaslara vakıf olur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2508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D2508F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 konudaki Yargı kararlarını inceleyebilecek becerileri kazanacaktır.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2508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color w:val="000000"/>
              </w:rPr>
            </w:pPr>
            <w:r w:rsidRPr="00D2508F">
              <w:rPr>
                <w:color w:val="000000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 xml:space="preserve">Ortaklıkların Sınıflandırılması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>Şirket ve Unsurları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>Ortaklığın Benzer Kavramlardan Farkları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 xml:space="preserve">Adi Ortaklık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 xml:space="preserve">Ticaret Ortaklıklarının Genel Hükümleri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color w:val="000000"/>
              </w:rPr>
            </w:pPr>
            <w:r w:rsidRPr="00D2508F">
              <w:rPr>
                <w:color w:val="000000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 xml:space="preserve">Kollektif Ortaklık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 xml:space="preserve">Adi Komandit Ortaklık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>Anonim Ortaklık, Tanımı, Unsurları, Türleri, Kuruluşu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color w:val="000000"/>
              </w:rPr>
            </w:pPr>
            <w:r w:rsidRPr="00D2508F">
              <w:rPr>
                <w:color w:val="000000"/>
              </w:rPr>
              <w:t xml:space="preserve">Anonim Ortaklığın Organları ve İşleyişi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color w:val="000000"/>
              </w:rPr>
            </w:pPr>
            <w:r w:rsidRPr="00D2508F">
              <w:rPr>
                <w:color w:val="000000"/>
              </w:rPr>
              <w:t>Anonim Ortaklıkta Pay Kavramı ve Türleri, Pay Sahipliği, Menkul Kıymetler ve Anasözleşme Değişikliği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color w:val="000000"/>
              </w:rPr>
            </w:pPr>
            <w:r w:rsidRPr="00D2508F">
              <w:rPr>
                <w:color w:val="000000"/>
              </w:rPr>
              <w:t xml:space="preserve">Paylı Komandit Ortaklık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2508F" w:rsidRPr="00F97B74" w:rsidTr="00A35E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972195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rPr>
                <w:bCs/>
                <w:color w:val="000000"/>
              </w:rPr>
            </w:pPr>
            <w:r w:rsidRPr="00D2508F">
              <w:rPr>
                <w:bCs/>
                <w:color w:val="000000"/>
              </w:rPr>
              <w:t xml:space="preserve">Limited Ortaklık 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Bahtiyar; Ortaklıklar Hukuku, 7. Bası, Beta, İstanbul 2012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D2508F" w:rsidRDefault="00D2508F" w:rsidP="00D2508F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Bahtiyar; 6335 Sayılı Kanun ile Yeni TTK'da Yapılan Değişiklikler ve İşletmeler/Şirketler için TTK'ya Uyum Takvimi, Beta, İstanbul 2012</w:t>
            </w:r>
          </w:p>
          <w:p w:rsidR="00D2508F" w:rsidRPr="00D2508F" w:rsidRDefault="00D2508F" w:rsidP="00D2508F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Çamoğlu/ Poroy/ Tekinalp; Ortaklıklar ve Kooperatif Hukuku, 12. Bası, Vedat, İstanbul 2010</w:t>
            </w:r>
          </w:p>
          <w:p w:rsidR="00453EAE" w:rsidRPr="00F97B74" w:rsidRDefault="00D2508F" w:rsidP="00D2508F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250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Kendigelen, Yeni Türk Ticaret Kanunu: Değişiklikler, Yenilikler ve İlk Tespitler, 2. Bası, On İki Levha, İstanbul 2012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AF7CAC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2508F" w:rsidRPr="00F97B74" w:rsidTr="004B06F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F97B74" w:rsidRDefault="00D2508F" w:rsidP="00D2508F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508F" w:rsidRPr="00EE5895" w:rsidRDefault="00D2508F" w:rsidP="00D2508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D2508F" w:rsidRPr="00F97B74" w:rsidRDefault="00D2508F" w:rsidP="00D2508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2508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2508F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B51C8"/>
  <w15:docId w15:val="{938E13B7-4F24-4AFF-A22F-20F004C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2017-06-11T16:15:00Z</dcterms:created>
  <dcterms:modified xsi:type="dcterms:W3CDTF">2017-06-11T16:15:00Z</dcterms:modified>
</cp:coreProperties>
</file>